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711" w:type="pct"/>
        <w:tblCellSpacing w:w="0" w:type="dxa"/>
        <w:tblCellMar>
          <w:left w:w="0" w:type="dxa"/>
          <w:right w:w="0" w:type="dxa"/>
        </w:tblCellMar>
        <w:tblLook w:val="04A0" w:firstRow="1" w:lastRow="0" w:firstColumn="1" w:lastColumn="0" w:noHBand="0" w:noVBand="1"/>
      </w:tblPr>
      <w:tblGrid>
        <w:gridCol w:w="3421"/>
        <w:gridCol w:w="2151"/>
        <w:gridCol w:w="4604"/>
      </w:tblGrid>
      <w:tr w:rsidR="00872969" w:rsidRPr="00792786" w14:paraId="4F6FB207" w14:textId="77777777" w:rsidTr="003E5251">
        <w:trPr>
          <w:tblCellSpacing w:w="0" w:type="dxa"/>
        </w:trPr>
        <w:tc>
          <w:tcPr>
            <w:tcW w:w="5000" w:type="pct"/>
            <w:gridSpan w:val="3"/>
            <w:tcBorders>
              <w:top w:val="single" w:sz="6" w:space="0" w:color="7BB2AC"/>
            </w:tcBorders>
            <w:shd w:val="clear" w:color="auto" w:fill="auto"/>
            <w:tcMar>
              <w:top w:w="45" w:type="dxa"/>
              <w:left w:w="90" w:type="dxa"/>
              <w:bottom w:w="60" w:type="dxa"/>
              <w:right w:w="90" w:type="dxa"/>
            </w:tcMar>
            <w:hideMark/>
          </w:tcPr>
          <w:p w14:paraId="5A8BC732" w14:textId="3F65B848" w:rsidR="00D67D6A" w:rsidRDefault="00D67D6A" w:rsidP="006C7F23">
            <w:pPr>
              <w:spacing w:after="0" w:line="240" w:lineRule="auto"/>
              <w:jc w:val="center"/>
              <w:rPr>
                <w:rFonts w:cstheme="minorHAnsi"/>
                <w:b/>
                <w:sz w:val="18"/>
                <w:szCs w:val="18"/>
              </w:rPr>
            </w:pPr>
            <w:r w:rsidRPr="00D67D6A">
              <w:rPr>
                <w:rFonts w:cstheme="minorHAnsi"/>
                <w:b/>
                <w:sz w:val="18"/>
                <w:szCs w:val="18"/>
              </w:rPr>
              <w:t>JAK is Out of the Box: Leveling Up Care for Severe Alopecia Areata Across Patient Populations</w:t>
            </w:r>
          </w:p>
          <w:p w14:paraId="30D3FBCD" w14:textId="461FE554" w:rsidR="00872969" w:rsidRPr="00792786" w:rsidRDefault="00086C2F" w:rsidP="006C7F23">
            <w:pPr>
              <w:spacing w:after="0" w:line="240" w:lineRule="auto"/>
              <w:jc w:val="center"/>
              <w:rPr>
                <w:rFonts w:eastAsia="Times New Roman" w:cstheme="minorHAnsi"/>
                <w:b/>
                <w:sz w:val="18"/>
                <w:szCs w:val="18"/>
              </w:rPr>
            </w:pPr>
            <w:r w:rsidRPr="00086C2F">
              <w:rPr>
                <w:rFonts w:cstheme="minorHAnsi"/>
                <w:b/>
                <w:sz w:val="18"/>
                <w:szCs w:val="18"/>
              </w:rPr>
              <w:t xml:space="preserve">Release: May </w:t>
            </w:r>
            <w:r>
              <w:rPr>
                <w:rFonts w:cstheme="minorHAnsi"/>
                <w:b/>
                <w:sz w:val="18"/>
                <w:szCs w:val="18"/>
              </w:rPr>
              <w:t>15</w:t>
            </w:r>
            <w:r w:rsidRPr="00086C2F">
              <w:rPr>
                <w:rFonts w:cstheme="minorHAnsi"/>
                <w:b/>
                <w:sz w:val="18"/>
                <w:szCs w:val="18"/>
              </w:rPr>
              <w:t>, 2025 Expiration: May</w:t>
            </w:r>
            <w:r>
              <w:rPr>
                <w:rFonts w:cstheme="minorHAnsi"/>
                <w:b/>
                <w:sz w:val="18"/>
                <w:szCs w:val="18"/>
              </w:rPr>
              <w:t xml:space="preserve"> 15</w:t>
            </w:r>
            <w:r w:rsidRPr="00086C2F">
              <w:rPr>
                <w:rFonts w:cstheme="minorHAnsi"/>
                <w:b/>
                <w:sz w:val="18"/>
                <w:szCs w:val="18"/>
              </w:rPr>
              <w:t>, 2026</w:t>
            </w:r>
          </w:p>
        </w:tc>
      </w:tr>
      <w:tr w:rsidR="00872969" w:rsidRPr="00792786" w14:paraId="20DF02FE" w14:textId="77777777" w:rsidTr="003E5251">
        <w:trPr>
          <w:tblCellSpacing w:w="0" w:type="dxa"/>
        </w:trPr>
        <w:tc>
          <w:tcPr>
            <w:tcW w:w="5000" w:type="pct"/>
            <w:gridSpan w:val="3"/>
            <w:tcBorders>
              <w:top w:val="single" w:sz="6" w:space="0" w:color="7BB2AC"/>
            </w:tcBorders>
            <w:shd w:val="clear" w:color="auto" w:fill="auto"/>
            <w:tcMar>
              <w:top w:w="45" w:type="dxa"/>
              <w:left w:w="90" w:type="dxa"/>
              <w:bottom w:w="60" w:type="dxa"/>
              <w:right w:w="90" w:type="dxa"/>
            </w:tcMar>
            <w:hideMark/>
          </w:tcPr>
          <w:p w14:paraId="0B0D861F" w14:textId="745A54FA" w:rsidR="00872969" w:rsidRPr="00792786" w:rsidRDefault="00DF6C7F" w:rsidP="006C7F23">
            <w:pPr>
              <w:spacing w:after="0" w:line="240" w:lineRule="auto"/>
              <w:rPr>
                <w:rFonts w:cstheme="minorHAnsi"/>
                <w:sz w:val="18"/>
                <w:szCs w:val="18"/>
              </w:rPr>
            </w:pPr>
            <w:bookmarkStart w:id="0" w:name="SPBookmark_Document_x0020_Format"/>
            <w:bookmarkStart w:id="1" w:name="SPBookmark_Reviewer"/>
            <w:bookmarkStart w:id="2" w:name="SPBookmark_ACCME_x0020__x002d__x0020_NLA"/>
            <w:bookmarkStart w:id="3" w:name="SPBookmark_FRONT_x0020_MATTER_x0020__x00"/>
            <w:bookmarkEnd w:id="0"/>
            <w:bookmarkEnd w:id="1"/>
            <w:bookmarkEnd w:id="2"/>
            <w:r w:rsidRPr="00792786">
              <w:rPr>
                <w:rStyle w:val="Strong"/>
                <w:rFonts w:cstheme="minorHAnsi"/>
                <w:sz w:val="18"/>
                <w:szCs w:val="18"/>
              </w:rPr>
              <w:t>Activity</w:t>
            </w:r>
            <w:r w:rsidR="00872969" w:rsidRPr="00792786">
              <w:rPr>
                <w:rStyle w:val="Strong"/>
                <w:rFonts w:cstheme="minorHAnsi"/>
                <w:sz w:val="18"/>
                <w:szCs w:val="18"/>
              </w:rPr>
              <w:t xml:space="preserve"> Overview </w:t>
            </w:r>
            <w:r w:rsidR="00872969" w:rsidRPr="00792786">
              <w:rPr>
                <w:rFonts w:cstheme="minorHAnsi"/>
                <w:sz w:val="18"/>
                <w:szCs w:val="18"/>
                <w:highlight w:val="yellow"/>
              </w:rPr>
              <w:br/>
            </w:r>
            <w:r w:rsidR="002E6D88" w:rsidRPr="002E6D88">
              <w:rPr>
                <w:rFonts w:cstheme="minorHAnsi"/>
                <w:color w:val="000000" w:themeColor="text1"/>
                <w:sz w:val="18"/>
                <w:szCs w:val="18"/>
              </w:rPr>
              <w:t>Severe alopecia areata (AA) causes a significant disease burden impacting multiple aspects of patients’ health, quality of life, and daily functioning. New treatment options, including Janus kinase (JAK) inhibitors, are becoming available, but diagnosis and management can be challenging, especially for pediatric patients and those with skin of color. Health care professionals require education on clinical presentations of AA in diverse patient populations, assessment of disease severity and disease burden, as well as topline clinical trial data regarding new and emerging JAK inhibitors in adult and adolescent patients. This online accredited CE enduring interactive monograph activity has been adapted from the live presentation of the primetime symposium at the MOPD 2025. This activity is presented as an interactive monograph format which provides content in an easily digestible format that learners can complete at their own pace.</w:t>
            </w:r>
          </w:p>
        </w:tc>
      </w:tr>
      <w:tr w:rsidR="00872969" w:rsidRPr="00792786" w14:paraId="7B2CB1BB" w14:textId="77777777" w:rsidTr="003E5251">
        <w:trPr>
          <w:tblCellSpacing w:w="0" w:type="dxa"/>
        </w:trPr>
        <w:tc>
          <w:tcPr>
            <w:tcW w:w="5000" w:type="pct"/>
            <w:gridSpan w:val="3"/>
            <w:tcBorders>
              <w:top w:val="single" w:sz="6" w:space="0" w:color="7BB2AC"/>
            </w:tcBorders>
            <w:shd w:val="clear" w:color="auto" w:fill="auto"/>
            <w:tcMar>
              <w:top w:w="45" w:type="dxa"/>
              <w:left w:w="90" w:type="dxa"/>
              <w:bottom w:w="60" w:type="dxa"/>
              <w:right w:w="90" w:type="dxa"/>
            </w:tcMar>
            <w:hideMark/>
          </w:tcPr>
          <w:p w14:paraId="268298CD" w14:textId="13810CD6" w:rsidR="00872969" w:rsidRPr="00792786" w:rsidRDefault="00872969" w:rsidP="006C7F23">
            <w:pPr>
              <w:spacing w:after="0" w:line="240" w:lineRule="auto"/>
              <w:rPr>
                <w:rFonts w:cstheme="minorHAnsi"/>
                <w:color w:val="000000" w:themeColor="text1"/>
                <w:sz w:val="18"/>
                <w:szCs w:val="18"/>
              </w:rPr>
            </w:pPr>
            <w:bookmarkStart w:id="4" w:name="SPBookmark_FRONT_x0020_MATTER_x0020_Flor"/>
            <w:bookmarkEnd w:id="4"/>
            <w:r w:rsidRPr="00792786">
              <w:rPr>
                <w:rFonts w:eastAsia="Times New Roman" w:cstheme="minorHAnsi"/>
                <w:b/>
                <w:bCs/>
                <w:color w:val="000000"/>
                <w:sz w:val="18"/>
                <w:szCs w:val="18"/>
              </w:rPr>
              <w:t>Target Audience</w:t>
            </w:r>
            <w:r w:rsidRPr="00792786">
              <w:rPr>
                <w:rFonts w:eastAsia="Times New Roman" w:cstheme="minorHAnsi"/>
                <w:b/>
                <w:bCs/>
                <w:color w:val="000000"/>
                <w:sz w:val="18"/>
                <w:szCs w:val="18"/>
              </w:rPr>
              <w:br/>
            </w:r>
            <w:r w:rsidR="003919C5" w:rsidRPr="003919C5">
              <w:rPr>
                <w:rFonts w:cstheme="minorHAnsi"/>
                <w:color w:val="000000" w:themeColor="text1"/>
                <w:sz w:val="18"/>
                <w:szCs w:val="18"/>
              </w:rPr>
              <w:t>This activity is designed for an audience of US-based physicians, nurses and advanced practice providers (nurse practitioners and physician associates) of dermatology practice, including pediatric and adolescent dermatology, who treat alopecia areata.</w:t>
            </w:r>
          </w:p>
        </w:tc>
      </w:tr>
      <w:tr w:rsidR="00872969" w:rsidRPr="00792786" w14:paraId="2DD560A9" w14:textId="77777777" w:rsidTr="003E5251">
        <w:trPr>
          <w:tblCellSpacing w:w="0" w:type="dxa"/>
        </w:trPr>
        <w:tc>
          <w:tcPr>
            <w:tcW w:w="5000" w:type="pct"/>
            <w:gridSpan w:val="3"/>
            <w:tcBorders>
              <w:top w:val="single" w:sz="6" w:space="0" w:color="7BB2AC"/>
            </w:tcBorders>
            <w:shd w:val="clear" w:color="auto" w:fill="auto"/>
            <w:tcMar>
              <w:top w:w="45" w:type="dxa"/>
              <w:left w:w="90" w:type="dxa"/>
              <w:bottom w:w="60" w:type="dxa"/>
              <w:right w:w="90" w:type="dxa"/>
            </w:tcMar>
            <w:hideMark/>
          </w:tcPr>
          <w:p w14:paraId="7CAB5B26" w14:textId="77777777" w:rsidR="00872969" w:rsidRPr="00792786" w:rsidRDefault="00872969" w:rsidP="006C7F23">
            <w:pPr>
              <w:pStyle w:val="Heading2"/>
              <w:spacing w:before="0" w:line="240" w:lineRule="auto"/>
              <w:rPr>
                <w:rFonts w:asciiTheme="minorHAnsi" w:eastAsia="Times New Roman" w:hAnsiTheme="minorHAnsi" w:cstheme="minorHAnsi"/>
                <w:color w:val="auto"/>
                <w:sz w:val="18"/>
                <w:szCs w:val="18"/>
              </w:rPr>
            </w:pPr>
            <w:r w:rsidRPr="00792786">
              <w:rPr>
                <w:rFonts w:asciiTheme="minorHAnsi" w:eastAsia="Times New Roman" w:hAnsiTheme="minorHAnsi" w:cstheme="minorHAnsi"/>
                <w:color w:val="auto"/>
                <w:sz w:val="18"/>
                <w:szCs w:val="18"/>
              </w:rPr>
              <w:t xml:space="preserve">Learning Objectives </w:t>
            </w:r>
          </w:p>
          <w:p w14:paraId="54D4C9B3" w14:textId="77777777" w:rsidR="00872969" w:rsidRPr="00792786" w:rsidRDefault="00872969" w:rsidP="006C7F23">
            <w:pPr>
              <w:spacing w:after="0" w:line="240" w:lineRule="auto"/>
              <w:rPr>
                <w:rFonts w:eastAsia="Times New Roman" w:cstheme="minorHAnsi"/>
                <w:color w:val="000000"/>
                <w:sz w:val="18"/>
                <w:szCs w:val="18"/>
              </w:rPr>
            </w:pPr>
            <w:r w:rsidRPr="00792786">
              <w:rPr>
                <w:rFonts w:eastAsia="Times New Roman" w:cstheme="minorHAnsi"/>
                <w:color w:val="000000"/>
                <w:sz w:val="18"/>
                <w:szCs w:val="18"/>
              </w:rPr>
              <w:t xml:space="preserve">Upon completion of the educational activity, participants should be able to: </w:t>
            </w:r>
          </w:p>
          <w:p w14:paraId="6957704F" w14:textId="77777777" w:rsidR="00230683" w:rsidRPr="00230683" w:rsidRDefault="00230683" w:rsidP="00230683">
            <w:pPr>
              <w:pStyle w:val="ListParagraph"/>
              <w:numPr>
                <w:ilvl w:val="0"/>
                <w:numId w:val="5"/>
              </w:numPr>
              <w:spacing w:after="0" w:line="240" w:lineRule="auto"/>
              <w:rPr>
                <w:rFonts w:cstheme="minorHAnsi"/>
                <w:sz w:val="18"/>
                <w:szCs w:val="18"/>
              </w:rPr>
            </w:pPr>
            <w:r w:rsidRPr="00230683">
              <w:rPr>
                <w:rFonts w:cstheme="minorHAnsi"/>
                <w:sz w:val="18"/>
                <w:szCs w:val="18"/>
              </w:rPr>
              <w:t xml:space="preserve">Describe the variations in the clinical presentation of AA to accurately diagnose and assess severity of AA, including adult and adolescent patients with skin of color </w:t>
            </w:r>
          </w:p>
          <w:p w14:paraId="74815269" w14:textId="77777777" w:rsidR="00230683" w:rsidRPr="00230683" w:rsidRDefault="00230683" w:rsidP="00230683">
            <w:pPr>
              <w:pStyle w:val="ListParagraph"/>
              <w:numPr>
                <w:ilvl w:val="0"/>
                <w:numId w:val="5"/>
              </w:numPr>
              <w:spacing w:after="0" w:line="240" w:lineRule="auto"/>
              <w:rPr>
                <w:rFonts w:cstheme="minorHAnsi"/>
                <w:sz w:val="18"/>
                <w:szCs w:val="18"/>
              </w:rPr>
            </w:pPr>
            <w:r w:rsidRPr="00230683">
              <w:rPr>
                <w:rFonts w:cstheme="minorHAnsi"/>
                <w:sz w:val="18"/>
                <w:szCs w:val="18"/>
              </w:rPr>
              <w:t xml:space="preserve">Summarize the factors that contribute to the high disease burden seen in patients with AA as well as strategies to assess them in clinical practice </w:t>
            </w:r>
          </w:p>
          <w:p w14:paraId="511BAD54" w14:textId="5566E577" w:rsidR="00872969" w:rsidRPr="002F1EB6" w:rsidRDefault="00230683" w:rsidP="00230683">
            <w:pPr>
              <w:pStyle w:val="ListParagraph"/>
              <w:numPr>
                <w:ilvl w:val="0"/>
                <w:numId w:val="5"/>
              </w:numPr>
              <w:spacing w:after="0" w:line="240" w:lineRule="auto"/>
              <w:rPr>
                <w:rFonts w:cstheme="minorHAnsi"/>
                <w:sz w:val="18"/>
                <w:szCs w:val="18"/>
              </w:rPr>
            </w:pPr>
            <w:r w:rsidRPr="00230683">
              <w:rPr>
                <w:rFonts w:cstheme="minorHAnsi"/>
                <w:sz w:val="18"/>
                <w:szCs w:val="18"/>
              </w:rPr>
              <w:t>Critically evaluate the clinical data and expert recommendations for treatment of severe AA using JAK inhibitors</w:t>
            </w:r>
          </w:p>
        </w:tc>
      </w:tr>
      <w:tr w:rsidR="00872969" w:rsidRPr="00792786" w14:paraId="185D3171" w14:textId="77777777" w:rsidTr="003E5251">
        <w:trPr>
          <w:tblCellSpacing w:w="0" w:type="dxa"/>
        </w:trPr>
        <w:tc>
          <w:tcPr>
            <w:tcW w:w="5000" w:type="pct"/>
            <w:gridSpan w:val="3"/>
            <w:tcBorders>
              <w:top w:val="single" w:sz="6" w:space="0" w:color="7BB2AC"/>
            </w:tcBorders>
            <w:shd w:val="clear" w:color="auto" w:fill="auto"/>
            <w:tcMar>
              <w:top w:w="45" w:type="dxa"/>
              <w:left w:w="90" w:type="dxa"/>
              <w:bottom w:w="60" w:type="dxa"/>
              <w:right w:w="90" w:type="dxa"/>
            </w:tcMar>
            <w:hideMark/>
          </w:tcPr>
          <w:p w14:paraId="7D4200F3" w14:textId="77777777" w:rsidR="0019425F" w:rsidRPr="00792786" w:rsidRDefault="0019425F" w:rsidP="006C7F23">
            <w:pPr>
              <w:autoSpaceDE w:val="0"/>
              <w:autoSpaceDN w:val="0"/>
              <w:adjustRightInd w:val="0"/>
              <w:spacing w:after="0" w:line="240" w:lineRule="auto"/>
              <w:rPr>
                <w:rFonts w:cstheme="minorHAnsi"/>
                <w:b/>
                <w:bCs/>
                <w:sz w:val="18"/>
                <w:szCs w:val="18"/>
                <w:shd w:val="clear" w:color="auto" w:fill="FFFFFF"/>
              </w:rPr>
            </w:pPr>
            <w:bookmarkStart w:id="5" w:name="SPBookmark_FRONT_x0020_MATTER_x0020_AANP"/>
            <w:bookmarkEnd w:id="5"/>
            <w:r w:rsidRPr="00792786">
              <w:rPr>
                <w:rFonts w:cstheme="minorHAnsi"/>
                <w:b/>
                <w:bCs/>
                <w:sz w:val="18"/>
                <w:szCs w:val="18"/>
                <w:shd w:val="clear" w:color="auto" w:fill="FFFFFF"/>
              </w:rPr>
              <w:t>Criteria for Success</w:t>
            </w:r>
          </w:p>
          <w:p w14:paraId="42E2F852" w14:textId="5C44D042" w:rsidR="00872969" w:rsidRPr="00792786" w:rsidRDefault="005A2A67" w:rsidP="006C7F23">
            <w:pPr>
              <w:spacing w:after="0" w:line="240" w:lineRule="auto"/>
              <w:rPr>
                <w:rFonts w:eastAsia="Times New Roman" w:cstheme="minorHAnsi"/>
                <w:color w:val="000000"/>
                <w:sz w:val="18"/>
                <w:szCs w:val="18"/>
              </w:rPr>
            </w:pPr>
            <w:r w:rsidRPr="007F0AE2">
              <w:rPr>
                <w:rFonts w:ascii="Calibri" w:hAnsi="Calibri" w:cs="Calibri"/>
                <w:sz w:val="19"/>
                <w:szCs w:val="19"/>
              </w:rPr>
              <w:t xml:space="preserve">To obtain a certificate of completion, a score of 70% or better on the post-test is required. Please proceed with the activity until you have successfully completed this program, answered all test questions, completed the post-test and evaluation, and have received a digital copy of your certificate.  You must participate in the entire activity to receive credit. There is no fee to participate in this activity. If you have questions about this activity, please contact AKH Inc. at </w:t>
            </w:r>
            <w:r w:rsidRPr="007F0AE2">
              <w:rPr>
                <w:rFonts w:ascii="Calibri" w:hAnsi="Calibri" w:cs="Calibri"/>
                <w:sz w:val="19"/>
                <w:szCs w:val="19"/>
                <w:shd w:val="clear" w:color="auto" w:fill="FFFFFF"/>
              </w:rPr>
              <w:t>tbrignoni@akhcme.com</w:t>
            </w:r>
            <w:r w:rsidRPr="007F0AE2">
              <w:rPr>
                <w:rFonts w:ascii="Calibri" w:hAnsi="Calibri" w:cs="Calibri"/>
                <w:sz w:val="19"/>
                <w:szCs w:val="19"/>
              </w:rPr>
              <w:t>.</w:t>
            </w:r>
          </w:p>
        </w:tc>
      </w:tr>
      <w:tr w:rsidR="0019425F" w:rsidRPr="00792786" w14:paraId="6190B997" w14:textId="77777777" w:rsidTr="003E5251">
        <w:trPr>
          <w:trHeight w:val="4368"/>
          <w:tblCellSpacing w:w="0" w:type="dxa"/>
        </w:trPr>
        <w:tc>
          <w:tcPr>
            <w:tcW w:w="5000" w:type="pct"/>
            <w:gridSpan w:val="3"/>
            <w:tcBorders>
              <w:top w:val="single" w:sz="6" w:space="0" w:color="7BB2AC"/>
            </w:tcBorders>
            <w:shd w:val="clear" w:color="auto" w:fill="auto"/>
            <w:tcMar>
              <w:top w:w="45" w:type="dxa"/>
              <w:left w:w="90" w:type="dxa"/>
              <w:bottom w:w="60" w:type="dxa"/>
              <w:right w:w="90" w:type="dxa"/>
            </w:tcMar>
          </w:tcPr>
          <w:p w14:paraId="6AD62CA7" w14:textId="77777777" w:rsidR="0019425F" w:rsidRPr="00792786" w:rsidRDefault="0019425F" w:rsidP="006C7F23">
            <w:pPr>
              <w:spacing w:after="0" w:line="240" w:lineRule="auto"/>
              <w:rPr>
                <w:rFonts w:eastAsia="Times New Roman" w:cstheme="minorHAnsi"/>
                <w:b/>
                <w:bCs/>
                <w:color w:val="000000"/>
                <w:sz w:val="18"/>
                <w:szCs w:val="18"/>
              </w:rPr>
            </w:pPr>
            <w:r w:rsidRPr="00792786">
              <w:rPr>
                <w:rFonts w:cstheme="minorHAnsi"/>
                <w:b/>
                <w:bCs/>
                <w:noProof/>
                <w:color w:val="000000"/>
                <w:sz w:val="18"/>
                <w:szCs w:val="18"/>
              </w:rPr>
              <w:drawing>
                <wp:anchor distT="0" distB="0" distL="114300" distR="114300" simplePos="0" relativeHeight="251659264" behindDoc="0" locked="0" layoutInCell="1" allowOverlap="1" wp14:anchorId="24FFA9E1" wp14:editId="7F24D54E">
                  <wp:simplePos x="0" y="0"/>
                  <wp:positionH relativeFrom="column">
                    <wp:posOffset>3810</wp:posOffset>
                  </wp:positionH>
                  <wp:positionV relativeFrom="paragraph">
                    <wp:posOffset>3810</wp:posOffset>
                  </wp:positionV>
                  <wp:extent cx="640080" cy="236220"/>
                  <wp:effectExtent l="0" t="0" r="762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236220"/>
                          </a:xfrm>
                          <a:prstGeom prst="rect">
                            <a:avLst/>
                          </a:prstGeom>
                          <a:noFill/>
                          <a:ln>
                            <a:noFill/>
                          </a:ln>
                        </pic:spPr>
                      </pic:pic>
                    </a:graphicData>
                  </a:graphic>
                </wp:anchor>
              </w:drawing>
            </w:r>
            <w:r w:rsidRPr="00792786">
              <w:rPr>
                <w:rFonts w:eastAsia="Times New Roman" w:cstheme="minorHAnsi"/>
                <w:b/>
                <w:bCs/>
                <w:color w:val="000000"/>
                <w:sz w:val="18"/>
                <w:szCs w:val="18"/>
              </w:rPr>
              <w:t xml:space="preserve"> Credit provided by AKH Inc., Advancing Knowledge in Healthcare</w:t>
            </w:r>
          </w:p>
          <w:p w14:paraId="357BFD40" w14:textId="191536DE" w:rsidR="0019425F" w:rsidRPr="00792786" w:rsidRDefault="0019425F" w:rsidP="006C7F23">
            <w:pPr>
              <w:spacing w:after="0" w:line="240" w:lineRule="auto"/>
              <w:rPr>
                <w:rFonts w:eastAsia="Times New Roman" w:cstheme="minorHAnsi"/>
                <w:b/>
                <w:bCs/>
                <w:color w:val="000000"/>
                <w:sz w:val="18"/>
                <w:szCs w:val="18"/>
              </w:rPr>
            </w:pPr>
          </w:p>
          <w:p w14:paraId="70AF6061" w14:textId="6FCB65E8" w:rsidR="0019425F" w:rsidRPr="00792786" w:rsidRDefault="00FD0F79" w:rsidP="006C7F23">
            <w:pPr>
              <w:spacing w:after="0" w:line="240" w:lineRule="auto"/>
              <w:rPr>
                <w:rFonts w:cstheme="minorHAnsi"/>
                <w:sz w:val="18"/>
                <w:szCs w:val="18"/>
              </w:rPr>
            </w:pPr>
            <w:r w:rsidRPr="00792786">
              <w:rPr>
                <w:rFonts w:cstheme="minorHAnsi"/>
                <w:noProof/>
                <w:sz w:val="18"/>
                <w:szCs w:val="18"/>
              </w:rPr>
              <w:drawing>
                <wp:anchor distT="0" distB="0" distL="114300" distR="114300" simplePos="0" relativeHeight="251661312" behindDoc="0" locked="0" layoutInCell="1" allowOverlap="1" wp14:anchorId="431816DC" wp14:editId="14A96AF6">
                  <wp:simplePos x="0" y="0"/>
                  <wp:positionH relativeFrom="column">
                    <wp:posOffset>3810</wp:posOffset>
                  </wp:positionH>
                  <wp:positionV relativeFrom="paragraph">
                    <wp:posOffset>59690</wp:posOffset>
                  </wp:positionV>
                  <wp:extent cx="769620" cy="528320"/>
                  <wp:effectExtent l="0" t="0" r="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9620"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25F" w:rsidRPr="00792786">
              <w:rPr>
                <w:rFonts w:cstheme="minorHAnsi"/>
                <w:color w:val="000000"/>
                <w:sz w:val="18"/>
                <w:szCs w:val="18"/>
                <w:shd w:val="clear" w:color="auto" w:fill="FFFFFF"/>
              </w:rPr>
              <w:t xml:space="preserve"> In support of improving patient care, this activity has been planned and implemented by AKH Inc., Advancing Knowledge in Healthcare and </w:t>
            </w:r>
            <w:r w:rsidR="0019425F" w:rsidRPr="00792786">
              <w:rPr>
                <w:rFonts w:cstheme="minorHAnsi"/>
                <w:sz w:val="18"/>
                <w:szCs w:val="18"/>
              </w:rPr>
              <w:t xml:space="preserve">Tarsus Cardio dba </w:t>
            </w:r>
            <w:proofErr w:type="spellStart"/>
            <w:r w:rsidR="0019425F" w:rsidRPr="00792786">
              <w:rPr>
                <w:rFonts w:cstheme="minorHAnsi"/>
                <w:sz w:val="18"/>
                <w:szCs w:val="18"/>
              </w:rPr>
              <w:t>LiVDerm</w:t>
            </w:r>
            <w:proofErr w:type="spellEnd"/>
            <w:r w:rsidR="0019425F" w:rsidRPr="00792786">
              <w:rPr>
                <w:rFonts w:cstheme="minorHAnsi"/>
                <w:sz w:val="18"/>
                <w:szCs w:val="18"/>
              </w:rPr>
              <w:t xml:space="preserve">. </w:t>
            </w:r>
            <w:r w:rsidR="0019425F" w:rsidRPr="00792786">
              <w:rPr>
                <w:rFonts w:cstheme="minorHAnsi"/>
                <w:color w:val="000000"/>
                <w:sz w:val="18"/>
                <w:szCs w:val="18"/>
                <w:shd w:val="clear" w:color="auto" w:fill="FFFFFF"/>
              </w:rPr>
              <w:t>AKH Inc., Advancing Knowledge in Healthcare is jointly accredited by the Accreditation Council for Continuing Medical Education (ACCME), the Accreditation Council for Pharmacy Education (ACPE), and the American Nurses Credentialing Center (ANCC), to provide continuing education for the healthcare team."</w:t>
            </w:r>
          </w:p>
          <w:p w14:paraId="13116B2B" w14:textId="77777777" w:rsidR="0019425F" w:rsidRPr="00792786" w:rsidRDefault="0019425F" w:rsidP="006C7F23">
            <w:pPr>
              <w:spacing w:after="0" w:line="240" w:lineRule="auto"/>
              <w:rPr>
                <w:rFonts w:cstheme="minorHAnsi"/>
                <w:sz w:val="18"/>
                <w:szCs w:val="18"/>
              </w:rPr>
            </w:pPr>
          </w:p>
          <w:p w14:paraId="1E4902E6" w14:textId="00185986" w:rsidR="0019425F" w:rsidRPr="00792786" w:rsidRDefault="0019425F" w:rsidP="006C7F23">
            <w:pPr>
              <w:spacing w:after="0" w:line="240" w:lineRule="auto"/>
              <w:rPr>
                <w:rFonts w:cstheme="minorHAnsi"/>
                <w:b/>
                <w:sz w:val="18"/>
                <w:szCs w:val="18"/>
              </w:rPr>
            </w:pPr>
            <w:r w:rsidRPr="00792786">
              <w:rPr>
                <w:rFonts w:cstheme="minorHAnsi"/>
                <w:b/>
                <w:sz w:val="18"/>
                <w:szCs w:val="18"/>
              </w:rPr>
              <w:t>Physician</w:t>
            </w:r>
            <w:r w:rsidR="006C7F23" w:rsidRPr="00792786">
              <w:rPr>
                <w:rFonts w:cstheme="minorHAnsi"/>
                <w:b/>
                <w:sz w:val="18"/>
                <w:szCs w:val="18"/>
              </w:rPr>
              <w:t>s</w:t>
            </w:r>
          </w:p>
          <w:p w14:paraId="720106D2" w14:textId="27FAC109" w:rsidR="0019425F" w:rsidRPr="00792786" w:rsidRDefault="0019425F" w:rsidP="006C7F23">
            <w:pPr>
              <w:spacing w:after="0" w:line="240" w:lineRule="auto"/>
              <w:rPr>
                <w:rFonts w:cstheme="minorHAnsi"/>
                <w:bCs/>
                <w:sz w:val="18"/>
                <w:szCs w:val="18"/>
              </w:rPr>
            </w:pPr>
            <w:r w:rsidRPr="00792786">
              <w:rPr>
                <w:rFonts w:cstheme="minorHAnsi"/>
                <w:bCs/>
                <w:sz w:val="18"/>
                <w:szCs w:val="18"/>
              </w:rPr>
              <w:t xml:space="preserve">AKH Inc., Advancing Knowledge in Healthcare designates this </w:t>
            </w:r>
            <w:r w:rsidR="005A2A67">
              <w:rPr>
                <w:rFonts w:cstheme="minorHAnsi"/>
                <w:bCs/>
                <w:sz w:val="18"/>
                <w:szCs w:val="18"/>
              </w:rPr>
              <w:t>enduring material</w:t>
            </w:r>
            <w:r w:rsidRPr="00792786">
              <w:rPr>
                <w:rFonts w:cstheme="minorHAnsi"/>
                <w:bCs/>
                <w:sz w:val="18"/>
                <w:szCs w:val="18"/>
              </w:rPr>
              <w:t xml:space="preserve"> for a maximum of </w:t>
            </w:r>
            <w:r w:rsidR="00BD0BF8">
              <w:rPr>
                <w:rFonts w:cstheme="minorHAnsi"/>
                <w:bCs/>
                <w:sz w:val="18"/>
                <w:szCs w:val="18"/>
              </w:rPr>
              <w:t>0.75</w:t>
            </w:r>
            <w:r w:rsidRPr="00792786">
              <w:rPr>
                <w:rFonts w:cstheme="minorHAnsi"/>
                <w:bCs/>
                <w:sz w:val="18"/>
                <w:szCs w:val="18"/>
              </w:rPr>
              <w:t xml:space="preserve"> </w:t>
            </w:r>
            <w:r w:rsidRPr="00792786">
              <w:rPr>
                <w:rFonts w:cstheme="minorHAnsi"/>
                <w:bCs/>
                <w:i/>
                <w:iCs/>
                <w:sz w:val="18"/>
                <w:szCs w:val="18"/>
              </w:rPr>
              <w:t>AMA PRA Category 1 Credit(s)™</w:t>
            </w:r>
            <w:r w:rsidRPr="00792786">
              <w:rPr>
                <w:rFonts w:cstheme="minorHAnsi"/>
                <w:bCs/>
                <w:sz w:val="18"/>
                <w:szCs w:val="18"/>
              </w:rPr>
              <w:t>. Physicians should claim only the credit commensurate with the extent of their participation in the activity.</w:t>
            </w:r>
          </w:p>
          <w:p w14:paraId="2C6F9B41" w14:textId="77777777" w:rsidR="0019425F" w:rsidRPr="00792786" w:rsidRDefault="0019425F" w:rsidP="006C7F23">
            <w:pPr>
              <w:spacing w:after="0" w:line="240" w:lineRule="auto"/>
              <w:rPr>
                <w:rFonts w:cstheme="minorHAnsi"/>
                <w:sz w:val="18"/>
                <w:szCs w:val="18"/>
              </w:rPr>
            </w:pPr>
          </w:p>
          <w:p w14:paraId="1CEE4C7F" w14:textId="77777777" w:rsidR="00BD0BF8" w:rsidRDefault="0019425F" w:rsidP="006C7F23">
            <w:pPr>
              <w:spacing w:after="0" w:line="240" w:lineRule="auto"/>
              <w:rPr>
                <w:rFonts w:cstheme="minorHAnsi"/>
                <w:b/>
                <w:bCs/>
                <w:sz w:val="18"/>
                <w:szCs w:val="18"/>
                <w:bdr w:val="none" w:sz="0" w:space="0" w:color="auto" w:frame="1"/>
              </w:rPr>
            </w:pPr>
            <w:r w:rsidRPr="00792786">
              <w:rPr>
                <w:rFonts w:cstheme="minorHAnsi"/>
                <w:b/>
                <w:bCs/>
                <w:sz w:val="18"/>
                <w:szCs w:val="18"/>
                <w:bdr w:val="none" w:sz="0" w:space="0" w:color="auto" w:frame="1"/>
              </w:rPr>
              <w:t>Nurses</w:t>
            </w:r>
          </w:p>
          <w:p w14:paraId="382C2013" w14:textId="05FFAECC" w:rsidR="0019425F" w:rsidRPr="00792786" w:rsidRDefault="00BD0BF8" w:rsidP="006C7F23">
            <w:pPr>
              <w:spacing w:after="0" w:line="240" w:lineRule="auto"/>
              <w:rPr>
                <w:rFonts w:cstheme="minorHAnsi"/>
                <w:sz w:val="18"/>
                <w:szCs w:val="18"/>
              </w:rPr>
            </w:pPr>
            <w:r w:rsidRPr="00BD0BF8">
              <w:rPr>
                <w:rFonts w:cstheme="minorHAnsi"/>
                <w:sz w:val="18"/>
                <w:szCs w:val="18"/>
                <w:bdr w:val="none" w:sz="0" w:space="0" w:color="auto" w:frame="1"/>
              </w:rPr>
              <w:t>0.75</w:t>
            </w:r>
            <w:r w:rsidR="0019425F" w:rsidRPr="00792786">
              <w:rPr>
                <w:rFonts w:cstheme="minorHAnsi"/>
                <w:sz w:val="18"/>
                <w:szCs w:val="18"/>
              </w:rPr>
              <w:t xml:space="preserve"> ANCC contact hours</w:t>
            </w:r>
            <w:r w:rsidR="006C7F23" w:rsidRPr="00792786">
              <w:rPr>
                <w:rFonts w:cstheme="minorHAnsi"/>
                <w:sz w:val="18"/>
                <w:szCs w:val="18"/>
              </w:rPr>
              <w:t>.</w:t>
            </w:r>
          </w:p>
          <w:p w14:paraId="0FD7578A" w14:textId="77777777" w:rsidR="0019425F" w:rsidRPr="00792786" w:rsidRDefault="0019425F" w:rsidP="006C7F23">
            <w:pPr>
              <w:spacing w:after="0" w:line="240" w:lineRule="auto"/>
              <w:rPr>
                <w:rFonts w:cstheme="minorHAnsi"/>
                <w:sz w:val="18"/>
                <w:szCs w:val="18"/>
              </w:rPr>
            </w:pPr>
          </w:p>
          <w:p w14:paraId="53460C6B" w14:textId="65784669" w:rsidR="0019425F" w:rsidRPr="00792786" w:rsidRDefault="0019425F" w:rsidP="006C7F23">
            <w:pPr>
              <w:pStyle w:val="NormalWeb"/>
              <w:spacing w:before="0" w:beforeAutospacing="0" w:after="0" w:afterAutospacing="0"/>
              <w:rPr>
                <w:rFonts w:asciiTheme="minorHAnsi" w:hAnsiTheme="minorHAnsi" w:cstheme="minorHAnsi"/>
                <w:b/>
                <w:bCs/>
                <w:sz w:val="18"/>
                <w:szCs w:val="18"/>
              </w:rPr>
            </w:pPr>
            <w:bookmarkStart w:id="6" w:name="_Hlk195021530"/>
            <w:r w:rsidRPr="00792786">
              <w:rPr>
                <w:rFonts w:asciiTheme="minorHAnsi" w:hAnsiTheme="minorHAnsi" w:cstheme="minorHAnsi"/>
                <w:noProof/>
                <w:sz w:val="18"/>
                <w:szCs w:val="18"/>
              </w:rPr>
              <w:drawing>
                <wp:anchor distT="0" distB="0" distL="114300" distR="114300" simplePos="0" relativeHeight="251660288" behindDoc="0" locked="0" layoutInCell="1" allowOverlap="1" wp14:anchorId="26305235" wp14:editId="26CE757A">
                  <wp:simplePos x="0" y="0"/>
                  <wp:positionH relativeFrom="column">
                    <wp:posOffset>3810</wp:posOffset>
                  </wp:positionH>
                  <wp:positionV relativeFrom="paragraph">
                    <wp:posOffset>140335</wp:posOffset>
                  </wp:positionV>
                  <wp:extent cx="441960" cy="441960"/>
                  <wp:effectExtent l="0" t="0" r="0" b="0"/>
                  <wp:wrapSquare wrapText="bothSides"/>
                  <wp:docPr id="8" name="Picture 8" descr="page3image282096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28209686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2786">
              <w:rPr>
                <w:rFonts w:asciiTheme="minorHAnsi" w:hAnsiTheme="minorHAnsi" w:cstheme="minorHAnsi"/>
                <w:b/>
                <w:bCs/>
                <w:sz w:val="18"/>
                <w:szCs w:val="18"/>
              </w:rPr>
              <w:t xml:space="preserve">Physician </w:t>
            </w:r>
            <w:r w:rsidR="005A2A67">
              <w:rPr>
                <w:rFonts w:asciiTheme="minorHAnsi" w:hAnsiTheme="minorHAnsi" w:cstheme="minorHAnsi"/>
                <w:b/>
                <w:bCs/>
                <w:sz w:val="18"/>
                <w:szCs w:val="18"/>
              </w:rPr>
              <w:t>Associates</w:t>
            </w:r>
          </w:p>
          <w:p w14:paraId="4157430E" w14:textId="2A67AC14" w:rsidR="0019425F" w:rsidRPr="00792786" w:rsidRDefault="0019425F" w:rsidP="006C7F23">
            <w:pPr>
              <w:pStyle w:val="NormalWeb"/>
              <w:spacing w:before="0" w:beforeAutospacing="0" w:after="0" w:afterAutospacing="0"/>
              <w:rPr>
                <w:rFonts w:asciiTheme="minorHAnsi" w:hAnsiTheme="minorHAnsi" w:cstheme="minorHAnsi"/>
                <w:sz w:val="18"/>
                <w:szCs w:val="18"/>
              </w:rPr>
            </w:pPr>
            <w:r w:rsidRPr="00792786">
              <w:rPr>
                <w:rFonts w:asciiTheme="minorHAnsi" w:hAnsiTheme="minorHAnsi" w:cstheme="minorHAnsi"/>
                <w:sz w:val="18"/>
                <w:szCs w:val="18"/>
              </w:rPr>
              <w:t xml:space="preserve"> AKH Inc., Advancing Knowledge in Healthcare has been authorized by the American Academy of PAs (AAPA) to award AAPA Category 1 CME credit for activities planned in accordance with AAPA CME Criteria. This activity is designated for </w:t>
            </w:r>
            <w:r w:rsidR="00BD0BF8">
              <w:rPr>
                <w:rFonts w:asciiTheme="minorHAnsi" w:hAnsiTheme="minorHAnsi" w:cstheme="minorHAnsi"/>
                <w:sz w:val="18"/>
                <w:szCs w:val="18"/>
              </w:rPr>
              <w:t>0.75</w:t>
            </w:r>
            <w:r w:rsidRPr="00792786">
              <w:rPr>
                <w:rFonts w:asciiTheme="minorHAnsi" w:hAnsiTheme="minorHAnsi" w:cstheme="minorHAnsi"/>
                <w:sz w:val="18"/>
                <w:szCs w:val="18"/>
              </w:rPr>
              <w:t xml:space="preserve"> AAPA Category 1 CME credits. </w:t>
            </w:r>
            <w:r w:rsidR="00A327CD" w:rsidRPr="00A327CD">
              <w:rPr>
                <w:rFonts w:asciiTheme="minorHAnsi" w:hAnsiTheme="minorHAnsi" w:cstheme="minorHAnsi"/>
                <w:sz w:val="18"/>
                <w:szCs w:val="18"/>
              </w:rPr>
              <w:t xml:space="preserve">Approval is valid until </w:t>
            </w:r>
            <w:r w:rsidR="00A327CD">
              <w:rPr>
                <w:rFonts w:asciiTheme="minorHAnsi" w:hAnsiTheme="minorHAnsi" w:cstheme="minorHAnsi"/>
                <w:sz w:val="18"/>
                <w:szCs w:val="18"/>
              </w:rPr>
              <w:t>5</w:t>
            </w:r>
            <w:r w:rsidR="00A327CD" w:rsidRPr="00A327CD">
              <w:rPr>
                <w:rFonts w:asciiTheme="minorHAnsi" w:hAnsiTheme="minorHAnsi" w:cstheme="minorHAnsi"/>
                <w:sz w:val="18"/>
                <w:szCs w:val="18"/>
              </w:rPr>
              <w:t>/1</w:t>
            </w:r>
            <w:r w:rsidR="00A327CD">
              <w:rPr>
                <w:rFonts w:asciiTheme="minorHAnsi" w:hAnsiTheme="minorHAnsi" w:cstheme="minorHAnsi"/>
                <w:sz w:val="18"/>
                <w:szCs w:val="18"/>
              </w:rPr>
              <w:t>5</w:t>
            </w:r>
            <w:r w:rsidR="00A327CD" w:rsidRPr="00A327CD">
              <w:rPr>
                <w:rFonts w:asciiTheme="minorHAnsi" w:hAnsiTheme="minorHAnsi" w:cstheme="minorHAnsi"/>
                <w:sz w:val="18"/>
                <w:szCs w:val="18"/>
              </w:rPr>
              <w:t>/2026. PAs should only claim credit commensurate with the extent of their participation.</w:t>
            </w:r>
          </w:p>
          <w:bookmarkEnd w:id="6"/>
          <w:p w14:paraId="54FA86AF" w14:textId="77777777" w:rsidR="0019425F" w:rsidRPr="00792786" w:rsidRDefault="0019425F" w:rsidP="006C7F23">
            <w:pPr>
              <w:spacing w:after="0" w:line="240" w:lineRule="auto"/>
              <w:rPr>
                <w:rFonts w:cstheme="minorHAnsi"/>
                <w:sz w:val="18"/>
                <w:szCs w:val="18"/>
              </w:rPr>
            </w:pPr>
          </w:p>
          <w:p w14:paraId="38157693" w14:textId="096F7FB6" w:rsidR="0019425F" w:rsidRPr="00A70998" w:rsidRDefault="0019425F" w:rsidP="00A70998">
            <w:pPr>
              <w:spacing w:after="0"/>
              <w:rPr>
                <w:rFonts w:cstheme="minorHAnsi"/>
                <w:color w:val="000000"/>
                <w:sz w:val="18"/>
                <w:szCs w:val="18"/>
              </w:rPr>
            </w:pPr>
            <w:r w:rsidRPr="00792786">
              <w:rPr>
                <w:rFonts w:eastAsia="Times New Roman" w:cstheme="minorHAnsi"/>
                <w:b/>
                <w:color w:val="000000"/>
                <w:sz w:val="18"/>
                <w:szCs w:val="18"/>
              </w:rPr>
              <w:t>Commercial Support</w:t>
            </w:r>
            <w:r w:rsidRPr="00792786">
              <w:rPr>
                <w:rFonts w:eastAsia="Times New Roman" w:cstheme="minorHAnsi"/>
                <w:color w:val="000000"/>
                <w:sz w:val="18"/>
                <w:szCs w:val="18"/>
              </w:rPr>
              <w:br/>
            </w:r>
            <w:r w:rsidR="00632A7C" w:rsidRPr="00971327">
              <w:rPr>
                <w:rFonts w:cstheme="minorHAnsi"/>
                <w:sz w:val="18"/>
                <w:szCs w:val="18"/>
              </w:rPr>
              <w:t xml:space="preserve">This activity is supported by </w:t>
            </w:r>
            <w:r w:rsidR="008708CF">
              <w:rPr>
                <w:rFonts w:cstheme="minorHAnsi"/>
                <w:sz w:val="18"/>
                <w:szCs w:val="18"/>
              </w:rPr>
              <w:t xml:space="preserve">an </w:t>
            </w:r>
            <w:r w:rsidR="00632A7C" w:rsidRPr="00971327">
              <w:rPr>
                <w:rFonts w:cstheme="minorHAnsi"/>
                <w:sz w:val="18"/>
                <w:szCs w:val="18"/>
              </w:rPr>
              <w:t>educational grant fr</w:t>
            </w:r>
            <w:r w:rsidR="004969B5">
              <w:rPr>
                <w:rFonts w:cstheme="minorHAnsi"/>
                <w:sz w:val="18"/>
                <w:szCs w:val="18"/>
              </w:rPr>
              <w:t xml:space="preserve">om </w:t>
            </w:r>
            <w:r w:rsidR="004A2CFD">
              <w:rPr>
                <w:rFonts w:cstheme="minorHAnsi"/>
                <w:sz w:val="18"/>
                <w:szCs w:val="18"/>
              </w:rPr>
              <w:t>Pfizer</w:t>
            </w:r>
            <w:r w:rsidR="006462E7" w:rsidRPr="006462E7">
              <w:rPr>
                <w:rFonts w:cstheme="minorHAnsi"/>
                <w:sz w:val="18"/>
                <w:szCs w:val="18"/>
              </w:rPr>
              <w:t>, Inc.</w:t>
            </w:r>
          </w:p>
          <w:p w14:paraId="37AF77B9" w14:textId="78B239B2" w:rsidR="00792786" w:rsidRPr="00792786" w:rsidRDefault="00792786" w:rsidP="006C7F23">
            <w:pPr>
              <w:spacing w:after="0" w:line="240" w:lineRule="auto"/>
              <w:rPr>
                <w:rFonts w:eastAsia="Times New Roman" w:cstheme="minorHAnsi"/>
                <w:color w:val="000000"/>
                <w:sz w:val="18"/>
                <w:szCs w:val="18"/>
                <w:highlight w:val="yellow"/>
              </w:rPr>
            </w:pPr>
          </w:p>
        </w:tc>
      </w:tr>
      <w:bookmarkEnd w:id="3"/>
      <w:tr w:rsidR="006217A4" w:rsidRPr="00792786" w14:paraId="04737F71" w14:textId="77777777" w:rsidTr="003E5251">
        <w:tblPrEx>
          <w:tblCellSpacing w:w="0" w:type="nil"/>
          <w:tblCellMar>
            <w:left w:w="108" w:type="dxa"/>
            <w:right w:w="108" w:type="dxa"/>
          </w:tblCellMar>
        </w:tblPrEx>
        <w:trPr>
          <w:trHeight w:val="29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noWrap/>
          </w:tcPr>
          <w:p w14:paraId="0D8362D7" w14:textId="1E0BFB83" w:rsidR="006217A4" w:rsidRPr="002400C9" w:rsidRDefault="006217A4" w:rsidP="006217A4">
            <w:pPr>
              <w:spacing w:after="0" w:line="240" w:lineRule="auto"/>
              <w:jc w:val="center"/>
              <w:rPr>
                <w:rFonts w:eastAsia="Times New Roman" w:cstheme="minorHAnsi"/>
                <w:color w:val="FFFFFF" w:themeColor="background1"/>
                <w:sz w:val="18"/>
                <w:szCs w:val="18"/>
              </w:rPr>
            </w:pPr>
            <w:r w:rsidRPr="002400C9">
              <w:rPr>
                <w:rFonts w:cstheme="minorHAnsi"/>
                <w:b/>
                <w:bCs/>
                <w:color w:val="FFFFFF" w:themeColor="background1"/>
                <w:sz w:val="18"/>
                <w:szCs w:val="18"/>
              </w:rPr>
              <w:t>DISCLOSURES</w:t>
            </w:r>
          </w:p>
        </w:tc>
      </w:tr>
      <w:tr w:rsidR="006217A4" w:rsidRPr="00792786" w14:paraId="12FE5416" w14:textId="77777777" w:rsidTr="008401D8">
        <w:tblPrEx>
          <w:tblCellSpacing w:w="0" w:type="nil"/>
          <w:tblCellMar>
            <w:left w:w="108" w:type="dxa"/>
            <w:right w:w="108" w:type="dxa"/>
          </w:tblCellMar>
        </w:tblPrEx>
        <w:trPr>
          <w:trHeight w:val="290"/>
        </w:trPr>
        <w:tc>
          <w:tcPr>
            <w:tcW w:w="1681"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noWrap/>
          </w:tcPr>
          <w:p w14:paraId="5DECC167" w14:textId="783FE50B" w:rsidR="006217A4" w:rsidRPr="002400C9" w:rsidRDefault="006217A4" w:rsidP="006217A4">
            <w:pPr>
              <w:spacing w:after="0" w:line="240" w:lineRule="auto"/>
              <w:rPr>
                <w:rFonts w:eastAsia="Times New Roman" w:cstheme="minorHAnsi"/>
                <w:color w:val="000000"/>
                <w:sz w:val="18"/>
                <w:szCs w:val="18"/>
              </w:rPr>
            </w:pPr>
            <w:r w:rsidRPr="002400C9">
              <w:rPr>
                <w:rFonts w:cstheme="minorHAnsi"/>
                <w:b/>
                <w:bCs/>
                <w:color w:val="FFFFFF" w:themeColor="background1"/>
                <w:sz w:val="18"/>
                <w:szCs w:val="18"/>
              </w:rPr>
              <w:t>Name</w:t>
            </w:r>
          </w:p>
        </w:tc>
        <w:tc>
          <w:tcPr>
            <w:tcW w:w="1057"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EC484D4" w14:textId="24DE091A" w:rsidR="006217A4" w:rsidRPr="002400C9" w:rsidRDefault="006217A4" w:rsidP="006217A4">
            <w:pPr>
              <w:spacing w:after="0" w:line="240" w:lineRule="auto"/>
              <w:rPr>
                <w:rFonts w:eastAsia="Times New Roman" w:cstheme="minorHAnsi"/>
                <w:color w:val="FFFFFF" w:themeColor="background1"/>
                <w:sz w:val="18"/>
                <w:szCs w:val="18"/>
              </w:rPr>
            </w:pPr>
            <w:r w:rsidRPr="002400C9">
              <w:rPr>
                <w:rFonts w:cstheme="minorHAnsi"/>
                <w:b/>
                <w:bCs/>
                <w:color w:val="FFFFFF" w:themeColor="background1"/>
                <w:sz w:val="18"/>
                <w:szCs w:val="18"/>
              </w:rPr>
              <w:t>Relationship</w:t>
            </w:r>
          </w:p>
        </w:tc>
        <w:tc>
          <w:tcPr>
            <w:tcW w:w="226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4288EE2" w14:textId="2C36E2B9" w:rsidR="006217A4" w:rsidRPr="002400C9" w:rsidRDefault="006217A4" w:rsidP="006217A4">
            <w:pPr>
              <w:spacing w:after="0" w:line="240" w:lineRule="auto"/>
              <w:rPr>
                <w:rFonts w:eastAsia="Times New Roman" w:cstheme="minorHAnsi"/>
                <w:color w:val="FFFFFF" w:themeColor="background1"/>
                <w:sz w:val="18"/>
                <w:szCs w:val="18"/>
              </w:rPr>
            </w:pPr>
            <w:r w:rsidRPr="002400C9">
              <w:rPr>
                <w:rFonts w:cstheme="minorHAnsi"/>
                <w:b/>
                <w:bCs/>
                <w:color w:val="FFFFFF" w:themeColor="background1"/>
                <w:sz w:val="18"/>
                <w:szCs w:val="18"/>
              </w:rPr>
              <w:t>Commercial Interest</w:t>
            </w:r>
          </w:p>
        </w:tc>
      </w:tr>
      <w:tr w:rsidR="002400C9" w:rsidRPr="00792786" w14:paraId="6172E3B5" w14:textId="77777777" w:rsidTr="0080607D">
        <w:tblPrEx>
          <w:tblCellSpacing w:w="0" w:type="nil"/>
          <w:tblCellMar>
            <w:left w:w="108" w:type="dxa"/>
            <w:right w:w="108" w:type="dxa"/>
          </w:tblCellMar>
        </w:tblPrEx>
        <w:trPr>
          <w:trHeight w:val="290"/>
        </w:trPr>
        <w:tc>
          <w:tcPr>
            <w:tcW w:w="1681" w:type="pct"/>
            <w:vMerge w:val="restart"/>
            <w:tcBorders>
              <w:top w:val="nil"/>
              <w:left w:val="single" w:sz="4" w:space="0" w:color="000000"/>
              <w:right w:val="single" w:sz="4" w:space="0" w:color="000000"/>
            </w:tcBorders>
            <w:shd w:val="clear" w:color="auto" w:fill="auto"/>
            <w:noWrap/>
          </w:tcPr>
          <w:p w14:paraId="41EC9D9E" w14:textId="15609D9B" w:rsidR="002400C9" w:rsidRPr="002400C9" w:rsidRDefault="002400C9" w:rsidP="002400C9">
            <w:pPr>
              <w:spacing w:after="0" w:line="240" w:lineRule="auto"/>
              <w:rPr>
                <w:rFonts w:eastAsia="Times New Roman" w:cstheme="minorHAnsi"/>
                <w:color w:val="000000"/>
                <w:sz w:val="18"/>
                <w:szCs w:val="18"/>
              </w:rPr>
            </w:pPr>
            <w:r w:rsidRPr="002400C9">
              <w:rPr>
                <w:rFonts w:cstheme="minorHAnsi"/>
                <w:sz w:val="18"/>
                <w:szCs w:val="18"/>
              </w:rPr>
              <w:t xml:space="preserve">Natasha A. </w:t>
            </w:r>
            <w:proofErr w:type="spellStart"/>
            <w:r w:rsidRPr="002400C9">
              <w:rPr>
                <w:rFonts w:cstheme="minorHAnsi"/>
                <w:sz w:val="18"/>
                <w:szCs w:val="18"/>
              </w:rPr>
              <w:t>Mesinkovska</w:t>
            </w:r>
            <w:proofErr w:type="spellEnd"/>
            <w:r w:rsidRPr="002400C9">
              <w:rPr>
                <w:rFonts w:cstheme="minorHAnsi"/>
                <w:sz w:val="18"/>
                <w:szCs w:val="18"/>
              </w:rPr>
              <w:t>, MD, PhD</w:t>
            </w:r>
          </w:p>
        </w:tc>
        <w:tc>
          <w:tcPr>
            <w:tcW w:w="1057" w:type="pct"/>
            <w:tcBorders>
              <w:top w:val="nil"/>
              <w:left w:val="single" w:sz="4" w:space="0" w:color="000000"/>
              <w:bottom w:val="single" w:sz="4" w:space="0" w:color="000000"/>
              <w:right w:val="single" w:sz="4" w:space="0" w:color="000000"/>
            </w:tcBorders>
            <w:shd w:val="clear" w:color="auto" w:fill="auto"/>
          </w:tcPr>
          <w:p w14:paraId="2D679722" w14:textId="7B2F848F" w:rsidR="002400C9" w:rsidRPr="002400C9" w:rsidRDefault="002400C9" w:rsidP="002400C9">
            <w:pPr>
              <w:spacing w:after="0" w:line="240" w:lineRule="auto"/>
              <w:rPr>
                <w:rFonts w:eastAsia="Times New Roman" w:cstheme="minorHAnsi"/>
                <w:color w:val="000000"/>
                <w:sz w:val="18"/>
                <w:szCs w:val="18"/>
                <w:highlight w:val="yellow"/>
              </w:rPr>
            </w:pPr>
            <w:r w:rsidRPr="002400C9">
              <w:rPr>
                <w:sz w:val="18"/>
                <w:szCs w:val="18"/>
              </w:rPr>
              <w:t>Researcher</w:t>
            </w:r>
          </w:p>
        </w:tc>
        <w:tc>
          <w:tcPr>
            <w:tcW w:w="2262" w:type="pct"/>
            <w:tcBorders>
              <w:top w:val="nil"/>
              <w:left w:val="single" w:sz="4" w:space="0" w:color="000000"/>
              <w:bottom w:val="single" w:sz="4" w:space="0" w:color="000000"/>
              <w:right w:val="single" w:sz="4" w:space="0" w:color="000000"/>
            </w:tcBorders>
            <w:shd w:val="clear" w:color="auto" w:fill="auto"/>
          </w:tcPr>
          <w:p w14:paraId="7A1DB9EE" w14:textId="68FD660C" w:rsidR="002400C9" w:rsidRPr="002400C9" w:rsidRDefault="002400C9" w:rsidP="002400C9">
            <w:pPr>
              <w:spacing w:after="0" w:line="240" w:lineRule="auto"/>
              <w:rPr>
                <w:rFonts w:eastAsia="Times New Roman" w:cstheme="minorHAnsi"/>
                <w:color w:val="000000"/>
                <w:sz w:val="18"/>
                <w:szCs w:val="18"/>
                <w:highlight w:val="yellow"/>
              </w:rPr>
            </w:pPr>
            <w:proofErr w:type="spellStart"/>
            <w:r w:rsidRPr="002400C9">
              <w:rPr>
                <w:sz w:val="18"/>
                <w:szCs w:val="18"/>
              </w:rPr>
              <w:t>Abbvie</w:t>
            </w:r>
            <w:proofErr w:type="spellEnd"/>
            <w:r w:rsidRPr="002400C9">
              <w:rPr>
                <w:sz w:val="18"/>
                <w:szCs w:val="18"/>
              </w:rPr>
              <w:t>, Sun Pharma, Sanofi, Regeneron</w:t>
            </w:r>
          </w:p>
        </w:tc>
      </w:tr>
      <w:tr w:rsidR="002400C9" w:rsidRPr="00792786" w14:paraId="1C316D1C" w14:textId="77777777" w:rsidTr="0080607D">
        <w:tblPrEx>
          <w:tblCellSpacing w:w="0" w:type="nil"/>
          <w:tblCellMar>
            <w:left w:w="108" w:type="dxa"/>
            <w:right w:w="108" w:type="dxa"/>
          </w:tblCellMar>
        </w:tblPrEx>
        <w:trPr>
          <w:trHeight w:val="290"/>
        </w:trPr>
        <w:tc>
          <w:tcPr>
            <w:tcW w:w="1681" w:type="pct"/>
            <w:vMerge/>
            <w:tcBorders>
              <w:left w:val="single" w:sz="4" w:space="0" w:color="000000"/>
              <w:bottom w:val="single" w:sz="4" w:space="0" w:color="000000"/>
              <w:right w:val="single" w:sz="4" w:space="0" w:color="000000"/>
            </w:tcBorders>
            <w:shd w:val="clear" w:color="auto" w:fill="auto"/>
            <w:noWrap/>
          </w:tcPr>
          <w:p w14:paraId="6D53A1B1" w14:textId="77777777" w:rsidR="002400C9" w:rsidRPr="002400C9" w:rsidRDefault="002400C9" w:rsidP="002400C9">
            <w:pPr>
              <w:spacing w:after="0" w:line="240" w:lineRule="auto"/>
              <w:rPr>
                <w:rFonts w:cstheme="minorHAnsi"/>
                <w:sz w:val="18"/>
                <w:szCs w:val="18"/>
              </w:rPr>
            </w:pPr>
          </w:p>
        </w:tc>
        <w:tc>
          <w:tcPr>
            <w:tcW w:w="1057" w:type="pct"/>
            <w:tcBorders>
              <w:top w:val="nil"/>
              <w:left w:val="single" w:sz="4" w:space="0" w:color="000000"/>
              <w:bottom w:val="single" w:sz="4" w:space="0" w:color="000000"/>
              <w:right w:val="single" w:sz="4" w:space="0" w:color="000000"/>
            </w:tcBorders>
            <w:shd w:val="clear" w:color="auto" w:fill="auto"/>
          </w:tcPr>
          <w:p w14:paraId="3C6EF7E4" w14:textId="5C40BD30" w:rsidR="002400C9" w:rsidRPr="002400C9" w:rsidRDefault="002400C9" w:rsidP="002400C9">
            <w:pPr>
              <w:spacing w:after="0" w:line="240" w:lineRule="auto"/>
              <w:rPr>
                <w:rFonts w:eastAsia="Times New Roman" w:cstheme="minorHAnsi"/>
                <w:color w:val="000000"/>
                <w:sz w:val="18"/>
                <w:szCs w:val="18"/>
                <w:highlight w:val="yellow"/>
              </w:rPr>
            </w:pPr>
            <w:r w:rsidRPr="002400C9">
              <w:rPr>
                <w:sz w:val="18"/>
                <w:szCs w:val="18"/>
              </w:rPr>
              <w:t>Speaker</w:t>
            </w:r>
          </w:p>
        </w:tc>
        <w:tc>
          <w:tcPr>
            <w:tcW w:w="2262" w:type="pct"/>
            <w:tcBorders>
              <w:top w:val="nil"/>
              <w:left w:val="single" w:sz="4" w:space="0" w:color="000000"/>
              <w:bottom w:val="single" w:sz="4" w:space="0" w:color="000000"/>
              <w:right w:val="single" w:sz="4" w:space="0" w:color="000000"/>
            </w:tcBorders>
            <w:shd w:val="clear" w:color="auto" w:fill="auto"/>
          </w:tcPr>
          <w:p w14:paraId="0828B196" w14:textId="3AA6CAAE" w:rsidR="002400C9" w:rsidRPr="002400C9" w:rsidRDefault="002400C9" w:rsidP="002400C9">
            <w:pPr>
              <w:spacing w:after="0" w:line="240" w:lineRule="auto"/>
              <w:rPr>
                <w:rFonts w:eastAsia="Times New Roman" w:cstheme="minorHAnsi"/>
                <w:color w:val="000000"/>
                <w:sz w:val="18"/>
                <w:szCs w:val="18"/>
                <w:highlight w:val="yellow"/>
              </w:rPr>
            </w:pPr>
            <w:r w:rsidRPr="002400C9">
              <w:rPr>
                <w:sz w:val="18"/>
                <w:szCs w:val="18"/>
              </w:rPr>
              <w:t>Pfizer</w:t>
            </w:r>
          </w:p>
        </w:tc>
      </w:tr>
      <w:tr w:rsidR="002400C9" w:rsidRPr="00792786" w14:paraId="5169048A" w14:textId="77777777" w:rsidTr="001D7057">
        <w:tblPrEx>
          <w:tblCellSpacing w:w="0" w:type="nil"/>
          <w:tblCellMar>
            <w:left w:w="108" w:type="dxa"/>
            <w:right w:w="108" w:type="dxa"/>
          </w:tblCellMar>
        </w:tblPrEx>
        <w:trPr>
          <w:trHeight w:val="290"/>
        </w:trPr>
        <w:tc>
          <w:tcPr>
            <w:tcW w:w="1681" w:type="pct"/>
            <w:vMerge w:val="restart"/>
            <w:tcBorders>
              <w:top w:val="nil"/>
              <w:left w:val="single" w:sz="4" w:space="0" w:color="000000"/>
              <w:right w:val="single" w:sz="4" w:space="0" w:color="000000"/>
            </w:tcBorders>
            <w:shd w:val="clear" w:color="auto" w:fill="auto"/>
            <w:noWrap/>
          </w:tcPr>
          <w:p w14:paraId="3E3917B1" w14:textId="5C0D023B" w:rsidR="002400C9" w:rsidRPr="002400C9" w:rsidRDefault="002400C9" w:rsidP="002400C9">
            <w:pPr>
              <w:spacing w:after="0" w:line="240" w:lineRule="auto"/>
              <w:rPr>
                <w:rFonts w:cstheme="minorHAnsi"/>
                <w:sz w:val="18"/>
                <w:szCs w:val="18"/>
              </w:rPr>
            </w:pPr>
            <w:r w:rsidRPr="002400C9">
              <w:rPr>
                <w:rFonts w:cstheme="minorHAnsi"/>
                <w:sz w:val="18"/>
                <w:szCs w:val="18"/>
              </w:rPr>
              <w:t>Adelaide A. Hebert, MD</w:t>
            </w:r>
          </w:p>
        </w:tc>
        <w:tc>
          <w:tcPr>
            <w:tcW w:w="1057" w:type="pct"/>
            <w:tcBorders>
              <w:top w:val="nil"/>
              <w:left w:val="single" w:sz="4" w:space="0" w:color="000000"/>
              <w:bottom w:val="single" w:sz="4" w:space="0" w:color="000000"/>
              <w:right w:val="single" w:sz="4" w:space="0" w:color="000000"/>
            </w:tcBorders>
            <w:shd w:val="clear" w:color="auto" w:fill="auto"/>
          </w:tcPr>
          <w:p w14:paraId="2F4EAFE7" w14:textId="08DB3BE2" w:rsidR="002400C9" w:rsidRPr="002400C9" w:rsidRDefault="002400C9" w:rsidP="002400C9">
            <w:pPr>
              <w:spacing w:after="0" w:line="240" w:lineRule="auto"/>
              <w:rPr>
                <w:rFonts w:eastAsia="Times New Roman" w:cstheme="minorHAnsi"/>
                <w:color w:val="000000"/>
                <w:sz w:val="18"/>
                <w:szCs w:val="18"/>
                <w:highlight w:val="yellow"/>
              </w:rPr>
            </w:pPr>
            <w:r w:rsidRPr="002400C9">
              <w:rPr>
                <w:sz w:val="18"/>
                <w:szCs w:val="18"/>
              </w:rPr>
              <w:t>Advisor</w:t>
            </w:r>
          </w:p>
        </w:tc>
        <w:tc>
          <w:tcPr>
            <w:tcW w:w="2262" w:type="pct"/>
            <w:tcBorders>
              <w:top w:val="nil"/>
              <w:left w:val="single" w:sz="4" w:space="0" w:color="000000"/>
              <w:bottom w:val="single" w:sz="4" w:space="0" w:color="000000"/>
              <w:right w:val="single" w:sz="4" w:space="0" w:color="000000"/>
            </w:tcBorders>
            <w:shd w:val="clear" w:color="auto" w:fill="auto"/>
          </w:tcPr>
          <w:p w14:paraId="78BEF925" w14:textId="5D950359" w:rsidR="002400C9" w:rsidRPr="002400C9" w:rsidRDefault="002400C9" w:rsidP="002400C9">
            <w:pPr>
              <w:spacing w:after="0" w:line="240" w:lineRule="auto"/>
              <w:rPr>
                <w:rFonts w:eastAsia="Times New Roman" w:cstheme="minorHAnsi"/>
                <w:color w:val="000000"/>
                <w:sz w:val="18"/>
                <w:szCs w:val="18"/>
                <w:highlight w:val="yellow"/>
              </w:rPr>
            </w:pPr>
            <w:r w:rsidRPr="002400C9">
              <w:rPr>
                <w:sz w:val="18"/>
                <w:szCs w:val="18"/>
              </w:rPr>
              <w:t xml:space="preserve">Pfizer, </w:t>
            </w:r>
            <w:proofErr w:type="spellStart"/>
            <w:r w:rsidRPr="002400C9">
              <w:rPr>
                <w:sz w:val="18"/>
                <w:szCs w:val="18"/>
              </w:rPr>
              <w:t>Arcutis</w:t>
            </w:r>
            <w:proofErr w:type="spellEnd"/>
            <w:r w:rsidRPr="002400C9">
              <w:rPr>
                <w:sz w:val="18"/>
                <w:szCs w:val="18"/>
              </w:rPr>
              <w:t xml:space="preserve">, </w:t>
            </w:r>
            <w:proofErr w:type="spellStart"/>
            <w:r w:rsidRPr="002400C9">
              <w:rPr>
                <w:sz w:val="18"/>
                <w:szCs w:val="18"/>
              </w:rPr>
              <w:t>Dermavant</w:t>
            </w:r>
            <w:proofErr w:type="spellEnd"/>
            <w:r w:rsidRPr="002400C9">
              <w:rPr>
                <w:sz w:val="18"/>
                <w:szCs w:val="18"/>
              </w:rPr>
              <w:t>, Galderma, Almirall, Incyte, Apogee, Novartis, Sun Pharma</w:t>
            </w:r>
          </w:p>
        </w:tc>
      </w:tr>
      <w:tr w:rsidR="002400C9" w:rsidRPr="00792786" w14:paraId="5ECAE2AE" w14:textId="77777777" w:rsidTr="001D7057">
        <w:tblPrEx>
          <w:tblCellSpacing w:w="0" w:type="nil"/>
          <w:tblCellMar>
            <w:left w:w="108" w:type="dxa"/>
            <w:right w:w="108" w:type="dxa"/>
          </w:tblCellMar>
        </w:tblPrEx>
        <w:trPr>
          <w:trHeight w:val="290"/>
        </w:trPr>
        <w:tc>
          <w:tcPr>
            <w:tcW w:w="1681" w:type="pct"/>
            <w:vMerge/>
            <w:tcBorders>
              <w:left w:val="single" w:sz="4" w:space="0" w:color="000000"/>
              <w:right w:val="single" w:sz="4" w:space="0" w:color="000000"/>
            </w:tcBorders>
            <w:shd w:val="clear" w:color="auto" w:fill="auto"/>
            <w:noWrap/>
          </w:tcPr>
          <w:p w14:paraId="7ED5043A" w14:textId="77777777" w:rsidR="002400C9" w:rsidRPr="002400C9" w:rsidRDefault="002400C9" w:rsidP="002400C9">
            <w:pPr>
              <w:spacing w:after="0" w:line="240" w:lineRule="auto"/>
              <w:rPr>
                <w:rFonts w:cstheme="minorHAnsi"/>
                <w:sz w:val="18"/>
                <w:szCs w:val="18"/>
              </w:rPr>
            </w:pPr>
          </w:p>
        </w:tc>
        <w:tc>
          <w:tcPr>
            <w:tcW w:w="1057" w:type="pct"/>
            <w:tcBorders>
              <w:top w:val="nil"/>
              <w:left w:val="single" w:sz="4" w:space="0" w:color="000000"/>
              <w:bottom w:val="single" w:sz="4" w:space="0" w:color="000000"/>
              <w:right w:val="single" w:sz="4" w:space="0" w:color="000000"/>
            </w:tcBorders>
            <w:shd w:val="clear" w:color="auto" w:fill="auto"/>
          </w:tcPr>
          <w:p w14:paraId="4D101B9B" w14:textId="38AE5AA7" w:rsidR="002400C9" w:rsidRPr="002400C9" w:rsidRDefault="002400C9" w:rsidP="002400C9">
            <w:pPr>
              <w:spacing w:after="0" w:line="240" w:lineRule="auto"/>
              <w:rPr>
                <w:rFonts w:eastAsia="Times New Roman" w:cstheme="minorHAnsi"/>
                <w:color w:val="000000"/>
                <w:sz w:val="18"/>
                <w:szCs w:val="18"/>
                <w:highlight w:val="yellow"/>
              </w:rPr>
            </w:pPr>
            <w:r w:rsidRPr="002400C9">
              <w:rPr>
                <w:sz w:val="18"/>
                <w:szCs w:val="18"/>
              </w:rPr>
              <w:t>Consultant</w:t>
            </w:r>
          </w:p>
        </w:tc>
        <w:tc>
          <w:tcPr>
            <w:tcW w:w="2262" w:type="pct"/>
            <w:tcBorders>
              <w:top w:val="nil"/>
              <w:left w:val="single" w:sz="4" w:space="0" w:color="000000"/>
              <w:bottom w:val="single" w:sz="4" w:space="0" w:color="000000"/>
              <w:right w:val="single" w:sz="4" w:space="0" w:color="000000"/>
            </w:tcBorders>
            <w:shd w:val="clear" w:color="auto" w:fill="auto"/>
          </w:tcPr>
          <w:p w14:paraId="7DFFF0EE" w14:textId="13D89309" w:rsidR="002400C9" w:rsidRPr="002400C9" w:rsidRDefault="002400C9" w:rsidP="002400C9">
            <w:pPr>
              <w:spacing w:after="0" w:line="240" w:lineRule="auto"/>
              <w:rPr>
                <w:rFonts w:eastAsia="Times New Roman" w:cstheme="minorHAnsi"/>
                <w:color w:val="000000"/>
                <w:sz w:val="18"/>
                <w:szCs w:val="18"/>
                <w:highlight w:val="yellow"/>
              </w:rPr>
            </w:pPr>
            <w:r w:rsidRPr="002400C9">
              <w:rPr>
                <w:sz w:val="18"/>
                <w:szCs w:val="18"/>
              </w:rPr>
              <w:t xml:space="preserve">Pfizer, </w:t>
            </w:r>
            <w:proofErr w:type="spellStart"/>
            <w:r w:rsidRPr="002400C9">
              <w:rPr>
                <w:sz w:val="18"/>
                <w:szCs w:val="18"/>
              </w:rPr>
              <w:t>Arcutis</w:t>
            </w:r>
            <w:proofErr w:type="spellEnd"/>
            <w:r w:rsidRPr="002400C9">
              <w:rPr>
                <w:sz w:val="18"/>
                <w:szCs w:val="18"/>
              </w:rPr>
              <w:t xml:space="preserve">, </w:t>
            </w:r>
            <w:proofErr w:type="spellStart"/>
            <w:r w:rsidRPr="002400C9">
              <w:rPr>
                <w:sz w:val="18"/>
                <w:szCs w:val="18"/>
              </w:rPr>
              <w:t>Dermavant</w:t>
            </w:r>
            <w:proofErr w:type="spellEnd"/>
            <w:r w:rsidRPr="002400C9">
              <w:rPr>
                <w:sz w:val="18"/>
                <w:szCs w:val="18"/>
              </w:rPr>
              <w:t>, Galderma, Almirall, Incyte, Apogee, Novartis</w:t>
            </w:r>
          </w:p>
        </w:tc>
      </w:tr>
      <w:tr w:rsidR="002400C9" w:rsidRPr="00792786" w14:paraId="1EC55A6F" w14:textId="77777777" w:rsidTr="001D7057">
        <w:tblPrEx>
          <w:tblCellSpacing w:w="0" w:type="nil"/>
          <w:tblCellMar>
            <w:left w:w="108" w:type="dxa"/>
            <w:right w:w="108" w:type="dxa"/>
          </w:tblCellMar>
        </w:tblPrEx>
        <w:trPr>
          <w:trHeight w:val="290"/>
        </w:trPr>
        <w:tc>
          <w:tcPr>
            <w:tcW w:w="1681" w:type="pct"/>
            <w:vMerge/>
            <w:tcBorders>
              <w:left w:val="single" w:sz="4" w:space="0" w:color="000000"/>
              <w:bottom w:val="single" w:sz="4" w:space="0" w:color="000000"/>
              <w:right w:val="single" w:sz="4" w:space="0" w:color="000000"/>
            </w:tcBorders>
            <w:shd w:val="clear" w:color="auto" w:fill="auto"/>
            <w:noWrap/>
          </w:tcPr>
          <w:p w14:paraId="07FDDE61" w14:textId="77777777" w:rsidR="002400C9" w:rsidRPr="002400C9" w:rsidRDefault="002400C9" w:rsidP="002400C9">
            <w:pPr>
              <w:spacing w:after="0" w:line="240" w:lineRule="auto"/>
              <w:rPr>
                <w:rFonts w:cstheme="minorHAnsi"/>
                <w:sz w:val="18"/>
                <w:szCs w:val="18"/>
              </w:rPr>
            </w:pPr>
          </w:p>
        </w:tc>
        <w:tc>
          <w:tcPr>
            <w:tcW w:w="1057" w:type="pct"/>
            <w:tcBorders>
              <w:top w:val="nil"/>
              <w:left w:val="single" w:sz="4" w:space="0" w:color="000000"/>
              <w:bottom w:val="single" w:sz="4" w:space="0" w:color="000000"/>
              <w:right w:val="single" w:sz="4" w:space="0" w:color="000000"/>
            </w:tcBorders>
            <w:shd w:val="clear" w:color="auto" w:fill="auto"/>
          </w:tcPr>
          <w:p w14:paraId="3148E21E" w14:textId="768D75FD" w:rsidR="002400C9" w:rsidRPr="002400C9" w:rsidRDefault="002400C9" w:rsidP="002400C9">
            <w:pPr>
              <w:spacing w:after="0" w:line="240" w:lineRule="auto"/>
              <w:rPr>
                <w:rFonts w:eastAsia="Times New Roman" w:cstheme="minorHAnsi"/>
                <w:color w:val="000000"/>
                <w:sz w:val="18"/>
                <w:szCs w:val="18"/>
                <w:highlight w:val="yellow"/>
              </w:rPr>
            </w:pPr>
            <w:r w:rsidRPr="002400C9">
              <w:rPr>
                <w:sz w:val="18"/>
                <w:szCs w:val="18"/>
              </w:rPr>
              <w:t>Researcher</w:t>
            </w:r>
          </w:p>
        </w:tc>
        <w:tc>
          <w:tcPr>
            <w:tcW w:w="2262" w:type="pct"/>
            <w:tcBorders>
              <w:top w:val="nil"/>
              <w:left w:val="single" w:sz="4" w:space="0" w:color="000000"/>
              <w:bottom w:val="single" w:sz="4" w:space="0" w:color="000000"/>
              <w:right w:val="single" w:sz="4" w:space="0" w:color="000000"/>
            </w:tcBorders>
            <w:shd w:val="clear" w:color="auto" w:fill="auto"/>
          </w:tcPr>
          <w:p w14:paraId="54175930" w14:textId="2BF4742E" w:rsidR="002400C9" w:rsidRPr="002400C9" w:rsidRDefault="002400C9" w:rsidP="002400C9">
            <w:pPr>
              <w:spacing w:after="0" w:line="240" w:lineRule="auto"/>
              <w:rPr>
                <w:rFonts w:eastAsia="Times New Roman" w:cstheme="minorHAnsi"/>
                <w:color w:val="000000"/>
                <w:sz w:val="18"/>
                <w:szCs w:val="18"/>
                <w:highlight w:val="yellow"/>
              </w:rPr>
            </w:pPr>
            <w:r w:rsidRPr="002400C9">
              <w:rPr>
                <w:sz w:val="18"/>
                <w:szCs w:val="18"/>
              </w:rPr>
              <w:t>all research grants paid to the medical school:</w:t>
            </w:r>
          </w:p>
        </w:tc>
      </w:tr>
      <w:tr w:rsidR="001B014A" w:rsidRPr="00792786" w14:paraId="508CBCC8" w14:textId="77777777" w:rsidTr="008401D8">
        <w:tblPrEx>
          <w:tblCellSpacing w:w="0" w:type="nil"/>
          <w:tblCellMar>
            <w:left w:w="108" w:type="dxa"/>
            <w:right w:w="108" w:type="dxa"/>
          </w:tblCellMar>
        </w:tblPrEx>
        <w:trPr>
          <w:trHeight w:val="290"/>
        </w:trPr>
        <w:tc>
          <w:tcPr>
            <w:tcW w:w="1681" w:type="pct"/>
            <w:tcBorders>
              <w:top w:val="single" w:sz="4" w:space="0" w:color="auto"/>
              <w:left w:val="single" w:sz="4" w:space="0" w:color="auto"/>
              <w:bottom w:val="single" w:sz="4" w:space="0" w:color="auto"/>
              <w:right w:val="single" w:sz="4" w:space="0" w:color="auto"/>
            </w:tcBorders>
            <w:shd w:val="clear" w:color="auto" w:fill="auto"/>
            <w:noWrap/>
          </w:tcPr>
          <w:p w14:paraId="497D8947" w14:textId="77777777" w:rsidR="003E5251" w:rsidRPr="002400C9" w:rsidRDefault="001B014A" w:rsidP="001B014A">
            <w:pPr>
              <w:spacing w:after="0" w:line="240" w:lineRule="auto"/>
              <w:rPr>
                <w:rFonts w:cstheme="minorHAnsi"/>
                <w:sz w:val="18"/>
                <w:szCs w:val="18"/>
              </w:rPr>
            </w:pPr>
            <w:r w:rsidRPr="002400C9">
              <w:rPr>
                <w:rFonts w:cstheme="minorHAnsi"/>
                <w:sz w:val="18"/>
                <w:szCs w:val="18"/>
              </w:rPr>
              <w:lastRenderedPageBreak/>
              <w:t xml:space="preserve">Dorothy Caputo, MA, BSN, RN, VP, </w:t>
            </w:r>
          </w:p>
          <w:p w14:paraId="378CD85D" w14:textId="4705EDB8" w:rsidR="001B014A" w:rsidRPr="002400C9" w:rsidRDefault="001B014A" w:rsidP="001B014A">
            <w:pPr>
              <w:spacing w:after="0" w:line="240" w:lineRule="auto"/>
              <w:rPr>
                <w:rFonts w:eastAsia="Times New Roman" w:cstheme="minorHAnsi"/>
                <w:color w:val="000000"/>
                <w:sz w:val="18"/>
                <w:szCs w:val="18"/>
              </w:rPr>
            </w:pPr>
            <w:r w:rsidRPr="002400C9">
              <w:rPr>
                <w:rFonts w:cstheme="minorHAnsi"/>
                <w:sz w:val="18"/>
                <w:szCs w:val="18"/>
              </w:rPr>
              <w:t>Healthcare CE and Operations</w:t>
            </w:r>
          </w:p>
        </w:tc>
        <w:tc>
          <w:tcPr>
            <w:tcW w:w="1057" w:type="pct"/>
            <w:tcBorders>
              <w:top w:val="single" w:sz="4" w:space="0" w:color="auto"/>
              <w:left w:val="single" w:sz="4" w:space="0" w:color="auto"/>
              <w:bottom w:val="single" w:sz="4" w:space="0" w:color="auto"/>
              <w:right w:val="single" w:sz="4" w:space="0" w:color="auto"/>
            </w:tcBorders>
            <w:shd w:val="clear" w:color="auto" w:fill="auto"/>
          </w:tcPr>
          <w:p w14:paraId="315548F8" w14:textId="77777777" w:rsidR="001B014A" w:rsidRPr="002400C9" w:rsidRDefault="001B014A" w:rsidP="001B014A">
            <w:pPr>
              <w:spacing w:after="0" w:line="240" w:lineRule="auto"/>
              <w:rPr>
                <w:rFonts w:cstheme="minorHAnsi"/>
                <w:color w:val="000000"/>
                <w:sz w:val="18"/>
                <w:szCs w:val="18"/>
              </w:rPr>
            </w:pPr>
            <w:r w:rsidRPr="002400C9">
              <w:rPr>
                <w:rFonts w:cstheme="minorHAnsi"/>
                <w:sz w:val="18"/>
                <w:szCs w:val="18"/>
              </w:rPr>
              <w:t>N/A</w:t>
            </w: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2FDD1C20" w14:textId="77777777" w:rsidR="001B014A" w:rsidRPr="002400C9" w:rsidRDefault="001B014A" w:rsidP="001B014A">
            <w:pPr>
              <w:spacing w:after="0" w:line="240" w:lineRule="auto"/>
              <w:rPr>
                <w:rFonts w:cstheme="minorHAnsi"/>
                <w:color w:val="000000"/>
                <w:sz w:val="18"/>
                <w:szCs w:val="18"/>
              </w:rPr>
            </w:pPr>
            <w:r w:rsidRPr="002400C9">
              <w:rPr>
                <w:rFonts w:cstheme="minorHAnsi"/>
                <w:sz w:val="18"/>
                <w:szCs w:val="18"/>
              </w:rPr>
              <w:t>Nothing to disclose</w:t>
            </w:r>
          </w:p>
        </w:tc>
      </w:tr>
      <w:tr w:rsidR="001B014A" w:rsidRPr="00792786" w14:paraId="788A0001" w14:textId="77777777" w:rsidTr="008401D8">
        <w:tblPrEx>
          <w:tblCellSpacing w:w="0" w:type="nil"/>
          <w:tblCellMar>
            <w:left w:w="108" w:type="dxa"/>
            <w:right w:w="108" w:type="dxa"/>
          </w:tblCellMar>
        </w:tblPrEx>
        <w:trPr>
          <w:trHeight w:val="290"/>
        </w:trPr>
        <w:tc>
          <w:tcPr>
            <w:tcW w:w="1681" w:type="pct"/>
            <w:tcBorders>
              <w:top w:val="single" w:sz="4" w:space="0" w:color="auto"/>
              <w:left w:val="single" w:sz="4" w:space="0" w:color="auto"/>
              <w:bottom w:val="single" w:sz="4" w:space="0" w:color="auto"/>
              <w:right w:val="single" w:sz="4" w:space="0" w:color="auto"/>
            </w:tcBorders>
            <w:shd w:val="clear" w:color="auto" w:fill="auto"/>
            <w:noWrap/>
          </w:tcPr>
          <w:p w14:paraId="42333799" w14:textId="77777777" w:rsidR="001B014A" w:rsidRPr="003E5251" w:rsidRDefault="001B014A" w:rsidP="001B014A">
            <w:pPr>
              <w:spacing w:after="0" w:line="240" w:lineRule="auto"/>
              <w:rPr>
                <w:rFonts w:eastAsia="Times New Roman" w:cstheme="minorHAnsi"/>
                <w:color w:val="000000"/>
                <w:sz w:val="18"/>
                <w:szCs w:val="18"/>
              </w:rPr>
            </w:pPr>
            <w:r w:rsidRPr="003E5251">
              <w:rPr>
                <w:rFonts w:cstheme="minorHAnsi"/>
                <w:sz w:val="18"/>
                <w:szCs w:val="18"/>
              </w:rPr>
              <w:t xml:space="preserve">Michele </w:t>
            </w:r>
            <w:proofErr w:type="spellStart"/>
            <w:r w:rsidRPr="003E5251">
              <w:rPr>
                <w:rFonts w:cstheme="minorHAnsi"/>
                <w:sz w:val="18"/>
                <w:szCs w:val="18"/>
              </w:rPr>
              <w:t>Bielarski</w:t>
            </w:r>
            <w:proofErr w:type="spellEnd"/>
            <w:r w:rsidRPr="003E5251">
              <w:rPr>
                <w:rFonts w:cstheme="minorHAnsi"/>
                <w:sz w:val="18"/>
                <w:szCs w:val="18"/>
              </w:rPr>
              <w:t>, RN (planner/reviewer)</w:t>
            </w:r>
          </w:p>
        </w:tc>
        <w:tc>
          <w:tcPr>
            <w:tcW w:w="1057" w:type="pct"/>
            <w:tcBorders>
              <w:top w:val="single" w:sz="4" w:space="0" w:color="auto"/>
              <w:left w:val="single" w:sz="4" w:space="0" w:color="auto"/>
              <w:bottom w:val="single" w:sz="4" w:space="0" w:color="auto"/>
              <w:right w:val="single" w:sz="4" w:space="0" w:color="auto"/>
            </w:tcBorders>
            <w:shd w:val="clear" w:color="auto" w:fill="auto"/>
          </w:tcPr>
          <w:p w14:paraId="41E8B47C" w14:textId="77777777" w:rsidR="001B014A" w:rsidRPr="003E5251" w:rsidRDefault="001B014A" w:rsidP="001B014A">
            <w:pPr>
              <w:spacing w:after="0" w:line="240" w:lineRule="auto"/>
              <w:rPr>
                <w:rFonts w:cstheme="minorHAnsi"/>
                <w:color w:val="000000"/>
                <w:sz w:val="18"/>
                <w:szCs w:val="18"/>
              </w:rPr>
            </w:pPr>
            <w:r w:rsidRPr="003E5251">
              <w:rPr>
                <w:rFonts w:cstheme="minorHAnsi"/>
                <w:sz w:val="18"/>
                <w:szCs w:val="18"/>
              </w:rPr>
              <w:t>N/A</w:t>
            </w: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1760D2F7" w14:textId="77777777" w:rsidR="001B014A" w:rsidRPr="003E5251" w:rsidRDefault="001B014A" w:rsidP="001B014A">
            <w:pPr>
              <w:spacing w:after="0" w:line="240" w:lineRule="auto"/>
              <w:rPr>
                <w:rFonts w:cstheme="minorHAnsi"/>
                <w:color w:val="000000"/>
                <w:sz w:val="18"/>
                <w:szCs w:val="18"/>
              </w:rPr>
            </w:pPr>
            <w:r w:rsidRPr="003E5251">
              <w:rPr>
                <w:rFonts w:cstheme="minorHAnsi"/>
                <w:sz w:val="18"/>
                <w:szCs w:val="18"/>
              </w:rPr>
              <w:t>Nothing to disclose</w:t>
            </w:r>
          </w:p>
        </w:tc>
      </w:tr>
      <w:tr w:rsidR="001B014A" w:rsidRPr="00792786" w14:paraId="3B1AFBD8" w14:textId="77777777" w:rsidTr="008401D8">
        <w:tblPrEx>
          <w:tblCellSpacing w:w="0" w:type="nil"/>
          <w:tblCellMar>
            <w:left w:w="108" w:type="dxa"/>
            <w:right w:w="108" w:type="dxa"/>
          </w:tblCellMar>
        </w:tblPrEx>
        <w:trPr>
          <w:trHeight w:val="290"/>
        </w:trPr>
        <w:tc>
          <w:tcPr>
            <w:tcW w:w="1681" w:type="pct"/>
            <w:tcBorders>
              <w:top w:val="single" w:sz="4" w:space="0" w:color="auto"/>
              <w:left w:val="single" w:sz="4" w:space="0" w:color="auto"/>
              <w:bottom w:val="single" w:sz="4" w:space="0" w:color="auto"/>
              <w:right w:val="single" w:sz="4" w:space="0" w:color="auto"/>
            </w:tcBorders>
            <w:shd w:val="clear" w:color="auto" w:fill="auto"/>
            <w:noWrap/>
          </w:tcPr>
          <w:p w14:paraId="612F21FE" w14:textId="77777777" w:rsidR="001B014A" w:rsidRPr="003E5251" w:rsidRDefault="001B014A" w:rsidP="001B014A">
            <w:pPr>
              <w:spacing w:after="0" w:line="240" w:lineRule="auto"/>
              <w:rPr>
                <w:rFonts w:eastAsia="Times New Roman" w:cstheme="minorHAnsi"/>
                <w:color w:val="000000"/>
                <w:sz w:val="18"/>
                <w:szCs w:val="18"/>
              </w:rPr>
            </w:pPr>
            <w:r w:rsidRPr="003E5251">
              <w:rPr>
                <w:rFonts w:cstheme="minorHAnsi"/>
                <w:sz w:val="18"/>
                <w:szCs w:val="18"/>
              </w:rPr>
              <w:t>AKH Inc Staff and Planners</w:t>
            </w:r>
          </w:p>
        </w:tc>
        <w:tc>
          <w:tcPr>
            <w:tcW w:w="1057" w:type="pct"/>
            <w:tcBorders>
              <w:top w:val="single" w:sz="4" w:space="0" w:color="auto"/>
              <w:left w:val="single" w:sz="4" w:space="0" w:color="auto"/>
              <w:bottom w:val="single" w:sz="4" w:space="0" w:color="auto"/>
              <w:right w:val="single" w:sz="4" w:space="0" w:color="auto"/>
            </w:tcBorders>
            <w:shd w:val="clear" w:color="auto" w:fill="auto"/>
          </w:tcPr>
          <w:p w14:paraId="68380262" w14:textId="77777777" w:rsidR="001B014A" w:rsidRPr="003E5251" w:rsidRDefault="001B014A" w:rsidP="001B014A">
            <w:pPr>
              <w:spacing w:after="0" w:line="240" w:lineRule="auto"/>
              <w:rPr>
                <w:rFonts w:cstheme="minorHAnsi"/>
                <w:color w:val="000000"/>
                <w:sz w:val="18"/>
                <w:szCs w:val="18"/>
              </w:rPr>
            </w:pPr>
            <w:r w:rsidRPr="003E5251">
              <w:rPr>
                <w:rFonts w:cstheme="minorHAnsi"/>
                <w:sz w:val="18"/>
                <w:szCs w:val="18"/>
              </w:rPr>
              <w:t>N/A</w:t>
            </w: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47C06622" w14:textId="77777777" w:rsidR="001B014A" w:rsidRPr="003E5251" w:rsidRDefault="001B014A" w:rsidP="001B014A">
            <w:pPr>
              <w:spacing w:after="0" w:line="240" w:lineRule="auto"/>
              <w:rPr>
                <w:rFonts w:cstheme="minorHAnsi"/>
                <w:color w:val="000000"/>
                <w:sz w:val="18"/>
                <w:szCs w:val="18"/>
              </w:rPr>
            </w:pPr>
            <w:r w:rsidRPr="003E5251">
              <w:rPr>
                <w:rFonts w:cstheme="minorHAnsi"/>
                <w:sz w:val="18"/>
                <w:szCs w:val="18"/>
              </w:rPr>
              <w:t>Nothing to disclose</w:t>
            </w:r>
          </w:p>
        </w:tc>
      </w:tr>
      <w:tr w:rsidR="001B014A" w:rsidRPr="00792786" w14:paraId="74A2624C" w14:textId="77777777" w:rsidTr="008401D8">
        <w:tblPrEx>
          <w:tblCellSpacing w:w="0" w:type="nil"/>
          <w:tblCellMar>
            <w:left w:w="108" w:type="dxa"/>
            <w:right w:w="108" w:type="dxa"/>
          </w:tblCellMar>
        </w:tblPrEx>
        <w:trPr>
          <w:trHeight w:val="290"/>
        </w:trPr>
        <w:tc>
          <w:tcPr>
            <w:tcW w:w="1681" w:type="pct"/>
            <w:tcBorders>
              <w:top w:val="single" w:sz="4" w:space="0" w:color="auto"/>
              <w:left w:val="single" w:sz="4" w:space="0" w:color="auto"/>
              <w:bottom w:val="single" w:sz="4" w:space="0" w:color="auto"/>
              <w:right w:val="single" w:sz="4" w:space="0" w:color="auto"/>
            </w:tcBorders>
            <w:shd w:val="clear" w:color="auto" w:fill="auto"/>
            <w:noWrap/>
          </w:tcPr>
          <w:p w14:paraId="153C70FA" w14:textId="77777777" w:rsidR="001B014A" w:rsidRPr="003E5251" w:rsidRDefault="001B014A" w:rsidP="001B014A">
            <w:pPr>
              <w:spacing w:after="0" w:line="240" w:lineRule="auto"/>
              <w:rPr>
                <w:rFonts w:eastAsia="Times New Roman" w:cstheme="minorHAnsi"/>
                <w:color w:val="000000"/>
                <w:sz w:val="18"/>
                <w:szCs w:val="18"/>
              </w:rPr>
            </w:pPr>
            <w:r w:rsidRPr="003E5251">
              <w:rPr>
                <w:rFonts w:cstheme="minorHAnsi"/>
                <w:sz w:val="18"/>
                <w:szCs w:val="18"/>
              </w:rPr>
              <w:t xml:space="preserve">Tarsus dba </w:t>
            </w:r>
            <w:proofErr w:type="spellStart"/>
            <w:r w:rsidRPr="003E5251">
              <w:rPr>
                <w:rFonts w:cstheme="minorHAnsi"/>
                <w:sz w:val="18"/>
                <w:szCs w:val="18"/>
              </w:rPr>
              <w:t>LiVDerm</w:t>
            </w:r>
            <w:proofErr w:type="spellEnd"/>
            <w:r w:rsidRPr="003E5251">
              <w:rPr>
                <w:rFonts w:cstheme="minorHAnsi"/>
                <w:sz w:val="18"/>
                <w:szCs w:val="18"/>
              </w:rPr>
              <w:t xml:space="preserve"> Staff and Planners</w:t>
            </w:r>
          </w:p>
        </w:tc>
        <w:tc>
          <w:tcPr>
            <w:tcW w:w="1057" w:type="pct"/>
            <w:tcBorders>
              <w:top w:val="single" w:sz="4" w:space="0" w:color="auto"/>
              <w:left w:val="single" w:sz="4" w:space="0" w:color="auto"/>
              <w:bottom w:val="single" w:sz="4" w:space="0" w:color="auto"/>
              <w:right w:val="single" w:sz="4" w:space="0" w:color="auto"/>
            </w:tcBorders>
            <w:shd w:val="clear" w:color="auto" w:fill="auto"/>
          </w:tcPr>
          <w:p w14:paraId="4AC6E2B0" w14:textId="77777777" w:rsidR="001B014A" w:rsidRPr="003E5251" w:rsidRDefault="001B014A" w:rsidP="001B014A">
            <w:pPr>
              <w:spacing w:after="0" w:line="240" w:lineRule="auto"/>
              <w:rPr>
                <w:rFonts w:cstheme="minorHAnsi"/>
                <w:color w:val="000000"/>
                <w:sz w:val="18"/>
                <w:szCs w:val="18"/>
              </w:rPr>
            </w:pPr>
            <w:r w:rsidRPr="003E5251">
              <w:rPr>
                <w:rFonts w:cstheme="minorHAnsi"/>
                <w:sz w:val="18"/>
                <w:szCs w:val="18"/>
              </w:rPr>
              <w:t>N/A</w:t>
            </w: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4AF358CC" w14:textId="77777777" w:rsidR="001B014A" w:rsidRPr="003E5251" w:rsidRDefault="001B014A" w:rsidP="001B014A">
            <w:pPr>
              <w:spacing w:after="0" w:line="240" w:lineRule="auto"/>
              <w:rPr>
                <w:rFonts w:cstheme="minorHAnsi"/>
                <w:color w:val="000000"/>
                <w:sz w:val="18"/>
                <w:szCs w:val="18"/>
              </w:rPr>
            </w:pPr>
            <w:r w:rsidRPr="003E5251">
              <w:rPr>
                <w:rFonts w:cstheme="minorHAnsi"/>
                <w:sz w:val="18"/>
                <w:szCs w:val="18"/>
              </w:rPr>
              <w:t>Nothing to disclose</w:t>
            </w:r>
          </w:p>
        </w:tc>
      </w:tr>
      <w:tr w:rsidR="001B014A" w:rsidRPr="00792786" w14:paraId="245F5413" w14:textId="77777777" w:rsidTr="003E5251">
        <w:tblPrEx>
          <w:tblCellSpacing w:w="0" w:type="nil"/>
          <w:tblCellMar>
            <w:left w:w="108" w:type="dxa"/>
            <w:right w:w="108" w:type="dxa"/>
          </w:tblCellMar>
        </w:tblPrEx>
        <w:trPr>
          <w:trHeight w:val="2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14:paraId="14A1F5CC" w14:textId="77777777" w:rsidR="001B014A" w:rsidRPr="00792786" w:rsidRDefault="001B014A" w:rsidP="001B014A">
            <w:pPr>
              <w:spacing w:after="0" w:line="240" w:lineRule="auto"/>
              <w:rPr>
                <w:rFonts w:cstheme="minorHAnsi"/>
                <w:sz w:val="18"/>
                <w:szCs w:val="18"/>
              </w:rPr>
            </w:pPr>
            <w:r w:rsidRPr="00792786">
              <w:rPr>
                <w:rFonts w:cstheme="minorHAnsi"/>
                <w:b/>
                <w:bCs/>
                <w:sz w:val="18"/>
                <w:szCs w:val="18"/>
              </w:rPr>
              <w:t>All of the relevant financial relationships listed for these individuals have been mitigated.</w:t>
            </w:r>
          </w:p>
        </w:tc>
      </w:tr>
    </w:tbl>
    <w:p w14:paraId="782922E2" w14:textId="77777777" w:rsidR="00D73D77" w:rsidRPr="00792786" w:rsidRDefault="00D73D77" w:rsidP="00D73D77">
      <w:pPr>
        <w:spacing w:after="0" w:line="240" w:lineRule="auto"/>
        <w:rPr>
          <w:rFonts w:eastAsia="Times New Roman" w:cstheme="minorHAnsi"/>
          <w:b/>
          <w:bCs/>
          <w:color w:val="000000"/>
          <w:sz w:val="18"/>
          <w:szCs w:val="18"/>
        </w:rPr>
      </w:pPr>
    </w:p>
    <w:p w14:paraId="5D2C2AF7" w14:textId="77777777" w:rsidR="00D73D77" w:rsidRPr="00792786" w:rsidRDefault="00D73D77" w:rsidP="00792786">
      <w:pPr>
        <w:spacing w:after="0" w:line="240" w:lineRule="auto"/>
        <w:rPr>
          <w:rFonts w:eastAsia="Times New Roman" w:cstheme="minorHAnsi"/>
          <w:b/>
          <w:bCs/>
          <w:color w:val="000000"/>
          <w:sz w:val="18"/>
          <w:szCs w:val="18"/>
        </w:rPr>
      </w:pPr>
      <w:r w:rsidRPr="00792786">
        <w:rPr>
          <w:rFonts w:eastAsia="Times New Roman" w:cstheme="minorHAnsi"/>
          <w:b/>
          <w:bCs/>
          <w:color w:val="000000"/>
          <w:sz w:val="18"/>
          <w:szCs w:val="18"/>
        </w:rPr>
        <w:t>Disclosures</w:t>
      </w:r>
    </w:p>
    <w:p w14:paraId="0279311B" w14:textId="77777777" w:rsidR="00D73D77" w:rsidRPr="00792786" w:rsidRDefault="00D73D77" w:rsidP="00792786">
      <w:pPr>
        <w:spacing w:after="0" w:line="240" w:lineRule="auto"/>
        <w:rPr>
          <w:rFonts w:eastAsia="Times New Roman" w:cstheme="minorHAnsi"/>
          <w:color w:val="000000"/>
          <w:sz w:val="18"/>
          <w:szCs w:val="18"/>
        </w:rPr>
      </w:pPr>
      <w:r w:rsidRPr="00792786">
        <w:rPr>
          <w:rFonts w:eastAsia="Times New Roman" w:cstheme="minorHAnsi"/>
          <w:color w:val="000000"/>
          <w:sz w:val="18"/>
          <w:szCs w:val="18"/>
        </w:rPr>
        <w:t>It is the policy of AKH Inc. to ensure independence, balance, objectivity, scientific rigor, and integrity in all of its continuing education activities. The author must disclose to the participants any significant relationships with ineligible companies whose products or devices may be mentioned in the activity or with the commercial supporter of this continuing education activity. Identified conflicts of interest are mitigated by AKH prior to accreditation of the activity. AKH planners and reviewers have no relevant financial relationships to disclose.</w:t>
      </w:r>
    </w:p>
    <w:p w14:paraId="7E5D9772" w14:textId="77777777" w:rsidR="00D73D77" w:rsidRPr="00792786" w:rsidRDefault="00D73D77" w:rsidP="00792786">
      <w:pPr>
        <w:spacing w:after="0" w:line="240" w:lineRule="auto"/>
        <w:rPr>
          <w:rFonts w:cstheme="minorHAnsi"/>
          <w:sz w:val="18"/>
          <w:szCs w:val="18"/>
        </w:rPr>
      </w:pPr>
    </w:p>
    <w:p w14:paraId="6787EAEC" w14:textId="77777777" w:rsidR="00D73D77" w:rsidRPr="00792786" w:rsidRDefault="00D73D77" w:rsidP="00792786">
      <w:pPr>
        <w:spacing w:after="0" w:line="240" w:lineRule="auto"/>
        <w:rPr>
          <w:rFonts w:eastAsia="Times New Roman" w:cstheme="minorHAnsi"/>
          <w:b/>
          <w:sz w:val="18"/>
          <w:szCs w:val="18"/>
        </w:rPr>
      </w:pPr>
      <w:r w:rsidRPr="00792786">
        <w:rPr>
          <w:rFonts w:eastAsia="Times New Roman" w:cstheme="minorHAnsi"/>
          <w:b/>
          <w:sz w:val="18"/>
          <w:szCs w:val="18"/>
        </w:rPr>
        <w:t xml:space="preserve">Disclosure of Unlabeled Use and Investigational Product </w:t>
      </w:r>
    </w:p>
    <w:p w14:paraId="644C4FE6" w14:textId="77777777" w:rsidR="00D73D77" w:rsidRPr="00792786" w:rsidRDefault="00D73D77" w:rsidP="00792786">
      <w:pPr>
        <w:spacing w:after="0" w:line="240" w:lineRule="auto"/>
        <w:rPr>
          <w:rFonts w:eastAsia="Times New Roman" w:cstheme="minorHAnsi"/>
          <w:sz w:val="18"/>
          <w:szCs w:val="18"/>
        </w:rPr>
      </w:pPr>
      <w:r w:rsidRPr="00792786">
        <w:rPr>
          <w:rFonts w:eastAsia="Times New Roman" w:cstheme="minorHAnsi"/>
          <w:sz w:val="18"/>
          <w:szCs w:val="18"/>
        </w:rPr>
        <w:t>This educational activity may include discussion of uses of agents that are investigational and/or unapproved by the FDA. Please refer to the official prescribing information for each product for discussion of approved indications, contraindications, and warnings.</w:t>
      </w:r>
    </w:p>
    <w:p w14:paraId="5EA22789" w14:textId="77777777" w:rsidR="00D73D77" w:rsidRPr="00792786" w:rsidRDefault="00D73D77" w:rsidP="00792786">
      <w:pPr>
        <w:spacing w:after="0" w:line="240" w:lineRule="auto"/>
        <w:rPr>
          <w:rFonts w:eastAsia="Times New Roman" w:cstheme="minorHAnsi"/>
          <w:b/>
          <w:sz w:val="18"/>
          <w:szCs w:val="18"/>
        </w:rPr>
      </w:pPr>
    </w:p>
    <w:p w14:paraId="0DD38BB6" w14:textId="77777777" w:rsidR="00D73D77" w:rsidRPr="00792786" w:rsidRDefault="00D73D77" w:rsidP="00792786">
      <w:pPr>
        <w:spacing w:after="0" w:line="240" w:lineRule="auto"/>
        <w:rPr>
          <w:rFonts w:eastAsia="Times New Roman" w:cstheme="minorHAnsi"/>
          <w:b/>
          <w:bCs/>
          <w:color w:val="000000"/>
          <w:sz w:val="18"/>
          <w:szCs w:val="18"/>
        </w:rPr>
      </w:pPr>
      <w:r w:rsidRPr="00792786">
        <w:rPr>
          <w:rFonts w:eastAsia="Times New Roman" w:cstheme="minorHAnsi"/>
          <w:b/>
          <w:bCs/>
          <w:color w:val="000000"/>
          <w:sz w:val="18"/>
          <w:szCs w:val="18"/>
        </w:rPr>
        <w:t xml:space="preserve">Disclaimer </w:t>
      </w:r>
    </w:p>
    <w:p w14:paraId="6B863B91" w14:textId="07A38FE6" w:rsidR="0095631A" w:rsidRPr="00792786" w:rsidRDefault="00D73D77" w:rsidP="00792786">
      <w:pPr>
        <w:pStyle w:val="NormalWeb"/>
        <w:shd w:val="clear" w:color="auto" w:fill="FFFFFF"/>
        <w:spacing w:before="0" w:beforeAutospacing="0" w:after="0" w:afterAutospacing="0"/>
        <w:rPr>
          <w:rFonts w:asciiTheme="minorHAnsi" w:hAnsiTheme="minorHAnsi" w:cstheme="minorHAnsi"/>
          <w:b/>
          <w:bCs/>
          <w:sz w:val="18"/>
          <w:szCs w:val="18"/>
        </w:rPr>
      </w:pPr>
      <w:r w:rsidRPr="00792786">
        <w:rPr>
          <w:rFonts w:asciiTheme="minorHAnsi" w:hAnsiTheme="minorHAnsi" w:cstheme="minorHAnsi"/>
          <w:color w:val="000000"/>
          <w:sz w:val="18"/>
          <w:szCs w:val="18"/>
        </w:rPr>
        <w:t>This course is designed solely to provide the healthcare professional with information to assist in his/her practice and professional development and is not to be considered a diagnostic tool to replace professional advice or treatment. The course serves as a general guide to the healthcare professional, and therefore, cannot be considered as giving legal, nursing, medical, or other professional advice in specific cases. AKH Inc. specifically disclaim responsibility for any adverse consequences resulting directly or indirectly from information in the course, for undetected error, or through participant’s misunderstanding of the content.</w:t>
      </w:r>
    </w:p>
    <w:sectPr w:rsidR="0095631A" w:rsidRPr="00792786" w:rsidSect="001D25B4">
      <w:footerReference w:type="even" r:id="rId13"/>
      <w:footerReference w:type="default" r:id="rId14"/>
      <w:footerReference w:type="first" r:id="rId15"/>
      <w:pgSz w:w="12240" w:h="15840"/>
      <w:pgMar w:top="45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CF2EB" w14:textId="77777777" w:rsidR="00CA062C" w:rsidRDefault="00CA062C" w:rsidP="009813A6">
      <w:pPr>
        <w:spacing w:after="0" w:line="240" w:lineRule="auto"/>
      </w:pPr>
      <w:r>
        <w:separator/>
      </w:r>
    </w:p>
  </w:endnote>
  <w:endnote w:type="continuationSeparator" w:id="0">
    <w:p w14:paraId="301A9DDE" w14:textId="77777777" w:rsidR="00CA062C" w:rsidRDefault="00CA062C" w:rsidP="0098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A251" w14:textId="62147EC6" w:rsidR="009813A6" w:rsidRDefault="009813A6">
    <w:pPr>
      <w:pStyle w:val="Footer"/>
    </w:pPr>
    <w:r>
      <w:rPr>
        <w:noProof/>
      </w:rPr>
      <mc:AlternateContent>
        <mc:Choice Requires="wps">
          <w:drawing>
            <wp:anchor distT="0" distB="0" distL="0" distR="0" simplePos="0" relativeHeight="251659264" behindDoc="0" locked="0" layoutInCell="1" allowOverlap="1" wp14:anchorId="47506E89" wp14:editId="033B14A7">
              <wp:simplePos x="635" y="635"/>
              <wp:positionH relativeFrom="page">
                <wp:align>left</wp:align>
              </wp:positionH>
              <wp:positionV relativeFrom="page">
                <wp:align>bottom</wp:align>
              </wp:positionV>
              <wp:extent cx="2085975" cy="344805"/>
              <wp:effectExtent l="0" t="0" r="9525" b="0"/>
              <wp:wrapNone/>
              <wp:docPr id="1039635307"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1FA0FC9C" w14:textId="7E07A89C" w:rsidR="009813A6" w:rsidRPr="009813A6" w:rsidRDefault="009813A6" w:rsidP="009813A6">
                          <w:pPr>
                            <w:spacing w:after="0"/>
                            <w:rPr>
                              <w:rFonts w:ascii="Rockwell" w:eastAsia="Rockwell" w:hAnsi="Rockwell" w:cs="Rockwell"/>
                              <w:noProof/>
                              <w:color w:val="0078D7"/>
                              <w:sz w:val="18"/>
                              <w:szCs w:val="18"/>
                            </w:rPr>
                          </w:pPr>
                          <w:r w:rsidRPr="009813A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506E89"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7.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" filled="f" stroked="f">
              <v:textbox style="mso-fit-shape-to-text:t" inset="20pt,0,0,15pt">
                <w:txbxContent>
                  <w:p w14:paraId="1FA0FC9C" w14:textId="7E07A89C" w:rsidR="009813A6" w:rsidRPr="009813A6" w:rsidRDefault="009813A6" w:rsidP="009813A6">
                    <w:pPr>
                      <w:spacing w:after="0"/>
                      <w:rPr>
                        <w:rFonts w:ascii="Rockwell" w:eastAsia="Rockwell" w:hAnsi="Rockwell" w:cs="Rockwell"/>
                        <w:noProof/>
                        <w:color w:val="0078D7"/>
                        <w:sz w:val="18"/>
                        <w:szCs w:val="18"/>
                      </w:rPr>
                    </w:pPr>
                    <w:r w:rsidRPr="009813A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5224" w14:textId="268F0BD7" w:rsidR="009813A6" w:rsidRDefault="009813A6">
    <w:pPr>
      <w:pStyle w:val="Footer"/>
    </w:pPr>
    <w:r>
      <w:rPr>
        <w:noProof/>
      </w:rPr>
      <mc:AlternateContent>
        <mc:Choice Requires="wps">
          <w:drawing>
            <wp:anchor distT="0" distB="0" distL="0" distR="0" simplePos="0" relativeHeight="251660288" behindDoc="0" locked="0" layoutInCell="1" allowOverlap="1" wp14:anchorId="58C5F43D" wp14:editId="0406EC18">
              <wp:simplePos x="635" y="635"/>
              <wp:positionH relativeFrom="page">
                <wp:align>left</wp:align>
              </wp:positionH>
              <wp:positionV relativeFrom="page">
                <wp:align>bottom</wp:align>
              </wp:positionV>
              <wp:extent cx="2085975" cy="344805"/>
              <wp:effectExtent l="0" t="0" r="9525" b="0"/>
              <wp:wrapNone/>
              <wp:docPr id="887510809"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6CF075F1" w14:textId="5FE9861A" w:rsidR="009813A6" w:rsidRPr="009813A6" w:rsidRDefault="009813A6" w:rsidP="009813A6">
                          <w:pPr>
                            <w:spacing w:after="0"/>
                            <w:rPr>
                              <w:rFonts w:ascii="Rockwell" w:eastAsia="Rockwell" w:hAnsi="Rockwell" w:cs="Rockwell"/>
                              <w:noProof/>
                              <w:color w:val="0078D7"/>
                              <w:sz w:val="18"/>
                              <w:szCs w:val="18"/>
                            </w:rPr>
                          </w:pPr>
                          <w:r w:rsidRPr="009813A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C5F43D"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7.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" filled="f" stroked="f">
              <v:textbox style="mso-fit-shape-to-text:t" inset="20pt,0,0,15pt">
                <w:txbxContent>
                  <w:p w14:paraId="6CF075F1" w14:textId="5FE9861A" w:rsidR="009813A6" w:rsidRPr="009813A6" w:rsidRDefault="009813A6" w:rsidP="009813A6">
                    <w:pPr>
                      <w:spacing w:after="0"/>
                      <w:rPr>
                        <w:rFonts w:ascii="Rockwell" w:eastAsia="Rockwell" w:hAnsi="Rockwell" w:cs="Rockwell"/>
                        <w:noProof/>
                        <w:color w:val="0078D7"/>
                        <w:sz w:val="18"/>
                        <w:szCs w:val="18"/>
                      </w:rPr>
                    </w:pPr>
                    <w:r w:rsidRPr="009813A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808F" w14:textId="79BA2AA9" w:rsidR="009813A6" w:rsidRDefault="009813A6">
    <w:pPr>
      <w:pStyle w:val="Footer"/>
    </w:pPr>
    <w:r>
      <w:rPr>
        <w:noProof/>
      </w:rPr>
      <mc:AlternateContent>
        <mc:Choice Requires="wps">
          <w:drawing>
            <wp:anchor distT="0" distB="0" distL="0" distR="0" simplePos="0" relativeHeight="251658240" behindDoc="0" locked="0" layoutInCell="1" allowOverlap="1" wp14:anchorId="76038D21" wp14:editId="60854FAD">
              <wp:simplePos x="635" y="635"/>
              <wp:positionH relativeFrom="page">
                <wp:align>left</wp:align>
              </wp:positionH>
              <wp:positionV relativeFrom="page">
                <wp:align>bottom</wp:align>
              </wp:positionV>
              <wp:extent cx="2085975" cy="344805"/>
              <wp:effectExtent l="0" t="0" r="9525" b="0"/>
              <wp:wrapNone/>
              <wp:docPr id="1082022926"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5219FC54" w14:textId="49F204B5" w:rsidR="009813A6" w:rsidRPr="009813A6" w:rsidRDefault="009813A6" w:rsidP="009813A6">
                          <w:pPr>
                            <w:spacing w:after="0"/>
                            <w:rPr>
                              <w:rFonts w:ascii="Rockwell" w:eastAsia="Rockwell" w:hAnsi="Rockwell" w:cs="Rockwell"/>
                              <w:noProof/>
                              <w:color w:val="0078D7"/>
                              <w:sz w:val="18"/>
                              <w:szCs w:val="18"/>
                            </w:rPr>
                          </w:pPr>
                          <w:r w:rsidRPr="009813A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038D21"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7.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" filled="f" stroked="f">
              <v:textbox style="mso-fit-shape-to-text:t" inset="20pt,0,0,15pt">
                <w:txbxContent>
                  <w:p w14:paraId="5219FC54" w14:textId="49F204B5" w:rsidR="009813A6" w:rsidRPr="009813A6" w:rsidRDefault="009813A6" w:rsidP="009813A6">
                    <w:pPr>
                      <w:spacing w:after="0"/>
                      <w:rPr>
                        <w:rFonts w:ascii="Rockwell" w:eastAsia="Rockwell" w:hAnsi="Rockwell" w:cs="Rockwell"/>
                        <w:noProof/>
                        <w:color w:val="0078D7"/>
                        <w:sz w:val="18"/>
                        <w:szCs w:val="18"/>
                      </w:rPr>
                    </w:pPr>
                    <w:r w:rsidRPr="009813A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25D3D" w14:textId="77777777" w:rsidR="00CA062C" w:rsidRDefault="00CA062C" w:rsidP="009813A6">
      <w:pPr>
        <w:spacing w:after="0" w:line="240" w:lineRule="auto"/>
      </w:pPr>
      <w:r>
        <w:separator/>
      </w:r>
    </w:p>
  </w:footnote>
  <w:footnote w:type="continuationSeparator" w:id="0">
    <w:p w14:paraId="4D27BB4E" w14:textId="77777777" w:rsidR="00CA062C" w:rsidRDefault="00CA062C" w:rsidP="00981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969F0"/>
    <w:multiLevelType w:val="hybridMultilevel"/>
    <w:tmpl w:val="31BE9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444FA5"/>
    <w:multiLevelType w:val="hybridMultilevel"/>
    <w:tmpl w:val="7772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7342D"/>
    <w:multiLevelType w:val="hybridMultilevel"/>
    <w:tmpl w:val="88F21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8605BC"/>
    <w:multiLevelType w:val="hybridMultilevel"/>
    <w:tmpl w:val="17DA5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A27621"/>
    <w:multiLevelType w:val="hybridMultilevel"/>
    <w:tmpl w:val="5A26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026B2"/>
    <w:multiLevelType w:val="hybridMultilevel"/>
    <w:tmpl w:val="5D54D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EA1B33"/>
    <w:multiLevelType w:val="hybridMultilevel"/>
    <w:tmpl w:val="5102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F4FE3"/>
    <w:multiLevelType w:val="hybridMultilevel"/>
    <w:tmpl w:val="1E02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964573">
    <w:abstractNumId w:val="0"/>
  </w:num>
  <w:num w:numId="2" w16cid:durableId="794451465">
    <w:abstractNumId w:val="1"/>
  </w:num>
  <w:num w:numId="3" w16cid:durableId="779253503">
    <w:abstractNumId w:val="6"/>
  </w:num>
  <w:num w:numId="4" w16cid:durableId="1453354615">
    <w:abstractNumId w:val="5"/>
  </w:num>
  <w:num w:numId="5" w16cid:durableId="1608804225">
    <w:abstractNumId w:val="2"/>
  </w:num>
  <w:num w:numId="6" w16cid:durableId="1236746012">
    <w:abstractNumId w:val="3"/>
  </w:num>
  <w:num w:numId="7" w16cid:durableId="1353997678">
    <w:abstractNumId w:val="7"/>
  </w:num>
  <w:num w:numId="8" w16cid:durableId="967590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69"/>
    <w:rsid w:val="0003204A"/>
    <w:rsid w:val="00035F98"/>
    <w:rsid w:val="00050274"/>
    <w:rsid w:val="00056389"/>
    <w:rsid w:val="00082FDB"/>
    <w:rsid w:val="00086C2F"/>
    <w:rsid w:val="000F2370"/>
    <w:rsid w:val="00123E20"/>
    <w:rsid w:val="001323E7"/>
    <w:rsid w:val="0019425F"/>
    <w:rsid w:val="001971AA"/>
    <w:rsid w:val="001B014A"/>
    <w:rsid w:val="001D25B4"/>
    <w:rsid w:val="001E0C8E"/>
    <w:rsid w:val="00203D27"/>
    <w:rsid w:val="00217C1A"/>
    <w:rsid w:val="00220ED6"/>
    <w:rsid w:val="00224025"/>
    <w:rsid w:val="00230683"/>
    <w:rsid w:val="002400C9"/>
    <w:rsid w:val="0024033F"/>
    <w:rsid w:val="00252829"/>
    <w:rsid w:val="00276D5D"/>
    <w:rsid w:val="00292EE9"/>
    <w:rsid w:val="00293BAB"/>
    <w:rsid w:val="002A5CB4"/>
    <w:rsid w:val="002D3046"/>
    <w:rsid w:val="002E028A"/>
    <w:rsid w:val="002E6D88"/>
    <w:rsid w:val="002F1EB6"/>
    <w:rsid w:val="00311DDB"/>
    <w:rsid w:val="00327A2F"/>
    <w:rsid w:val="00331D57"/>
    <w:rsid w:val="00347149"/>
    <w:rsid w:val="003504E4"/>
    <w:rsid w:val="003620FA"/>
    <w:rsid w:val="0036278D"/>
    <w:rsid w:val="0036387C"/>
    <w:rsid w:val="003919C5"/>
    <w:rsid w:val="003B09F0"/>
    <w:rsid w:val="003D290E"/>
    <w:rsid w:val="003E4725"/>
    <w:rsid w:val="003E5251"/>
    <w:rsid w:val="003F371C"/>
    <w:rsid w:val="00457F75"/>
    <w:rsid w:val="004708DB"/>
    <w:rsid w:val="004969B5"/>
    <w:rsid w:val="004A2CFD"/>
    <w:rsid w:val="004C30E0"/>
    <w:rsid w:val="004E2CBF"/>
    <w:rsid w:val="004E3931"/>
    <w:rsid w:val="00586AA6"/>
    <w:rsid w:val="00590190"/>
    <w:rsid w:val="005A2698"/>
    <w:rsid w:val="005A2A67"/>
    <w:rsid w:val="005B2E56"/>
    <w:rsid w:val="00605CFD"/>
    <w:rsid w:val="00615381"/>
    <w:rsid w:val="006217A4"/>
    <w:rsid w:val="00632A7C"/>
    <w:rsid w:val="006462E7"/>
    <w:rsid w:val="00661A93"/>
    <w:rsid w:val="006C7F23"/>
    <w:rsid w:val="0071327F"/>
    <w:rsid w:val="00716D59"/>
    <w:rsid w:val="00734ED8"/>
    <w:rsid w:val="00767705"/>
    <w:rsid w:val="00792786"/>
    <w:rsid w:val="00807F5D"/>
    <w:rsid w:val="0082710E"/>
    <w:rsid w:val="008401D8"/>
    <w:rsid w:val="0084240E"/>
    <w:rsid w:val="008708CF"/>
    <w:rsid w:val="00872969"/>
    <w:rsid w:val="008754B7"/>
    <w:rsid w:val="00897A3A"/>
    <w:rsid w:val="008D6165"/>
    <w:rsid w:val="00937CD4"/>
    <w:rsid w:val="0095631A"/>
    <w:rsid w:val="009813A6"/>
    <w:rsid w:val="009C11F8"/>
    <w:rsid w:val="009E791C"/>
    <w:rsid w:val="00A0743B"/>
    <w:rsid w:val="00A327CD"/>
    <w:rsid w:val="00A3312C"/>
    <w:rsid w:val="00A70998"/>
    <w:rsid w:val="00A73770"/>
    <w:rsid w:val="00A861DD"/>
    <w:rsid w:val="00AA7E9F"/>
    <w:rsid w:val="00AE3B88"/>
    <w:rsid w:val="00B23988"/>
    <w:rsid w:val="00B37827"/>
    <w:rsid w:val="00B61A08"/>
    <w:rsid w:val="00B75E09"/>
    <w:rsid w:val="00BC0945"/>
    <w:rsid w:val="00BD0BF8"/>
    <w:rsid w:val="00BE4B61"/>
    <w:rsid w:val="00C25E5C"/>
    <w:rsid w:val="00C31618"/>
    <w:rsid w:val="00C90C8E"/>
    <w:rsid w:val="00CA062C"/>
    <w:rsid w:val="00CA1B66"/>
    <w:rsid w:val="00CD1693"/>
    <w:rsid w:val="00D43D84"/>
    <w:rsid w:val="00D67D6A"/>
    <w:rsid w:val="00D73D77"/>
    <w:rsid w:val="00D969A4"/>
    <w:rsid w:val="00DA504D"/>
    <w:rsid w:val="00DB4FC8"/>
    <w:rsid w:val="00DF4472"/>
    <w:rsid w:val="00DF6C7F"/>
    <w:rsid w:val="00E02671"/>
    <w:rsid w:val="00E47F3B"/>
    <w:rsid w:val="00E720D9"/>
    <w:rsid w:val="00E926F7"/>
    <w:rsid w:val="00EE1077"/>
    <w:rsid w:val="00F01C8D"/>
    <w:rsid w:val="00F03E29"/>
    <w:rsid w:val="00F36B29"/>
    <w:rsid w:val="00F615AF"/>
    <w:rsid w:val="00FC6154"/>
    <w:rsid w:val="00FD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BDB2"/>
  <w15:chartTrackingRefBased/>
  <w15:docId w15:val="{D015ACD8-F78E-4F62-9C63-822A4199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69"/>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87296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2969"/>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8729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2969"/>
    <w:rPr>
      <w:b/>
      <w:bCs/>
    </w:rPr>
  </w:style>
  <w:style w:type="character" w:styleId="Hyperlink">
    <w:name w:val="Hyperlink"/>
    <w:basedOn w:val="DefaultParagraphFont"/>
    <w:uiPriority w:val="99"/>
    <w:unhideWhenUsed/>
    <w:rsid w:val="00872969"/>
    <w:rPr>
      <w:color w:val="0563C1" w:themeColor="hyperlink"/>
      <w:u w:val="single"/>
    </w:rPr>
  </w:style>
  <w:style w:type="paragraph" w:styleId="ListParagraph">
    <w:name w:val="List Paragraph"/>
    <w:basedOn w:val="Normal"/>
    <w:link w:val="ListParagraphChar"/>
    <w:uiPriority w:val="34"/>
    <w:qFormat/>
    <w:rsid w:val="00872969"/>
    <w:pPr>
      <w:ind w:left="720"/>
      <w:contextualSpacing/>
    </w:pPr>
  </w:style>
  <w:style w:type="character" w:customStyle="1" w:styleId="body-text">
    <w:name w:val="body-text"/>
    <w:basedOn w:val="DefaultParagraphFont"/>
    <w:rsid w:val="00872969"/>
  </w:style>
  <w:style w:type="paragraph" w:customStyle="1" w:styleId="s4">
    <w:name w:val="s4"/>
    <w:basedOn w:val="Normal"/>
    <w:rsid w:val="00872969"/>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bumpedfont15">
    <w:name w:val="bumpedfont15"/>
    <w:basedOn w:val="DefaultParagraphFont"/>
    <w:rsid w:val="00872969"/>
  </w:style>
  <w:style w:type="character" w:customStyle="1" w:styleId="ListParagraphChar">
    <w:name w:val="List Paragraph Char"/>
    <w:link w:val="ListParagraph"/>
    <w:uiPriority w:val="34"/>
    <w:rsid w:val="00A0743B"/>
    <w:rPr>
      <w:rFonts w:eastAsiaTheme="minorEastAsia"/>
    </w:rPr>
  </w:style>
  <w:style w:type="table" w:styleId="TableGrid">
    <w:name w:val="Table Grid"/>
    <w:basedOn w:val="TableNormal"/>
    <w:uiPriority w:val="59"/>
    <w:rsid w:val="0095631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D0F79"/>
    <w:rPr>
      <w:color w:val="605E5C"/>
      <w:shd w:val="clear" w:color="auto" w:fill="E1DFDD"/>
    </w:rPr>
  </w:style>
  <w:style w:type="character" w:customStyle="1" w:styleId="il">
    <w:name w:val="il"/>
    <w:basedOn w:val="DefaultParagraphFont"/>
    <w:rsid w:val="00D73D77"/>
  </w:style>
  <w:style w:type="paragraph" w:styleId="Footer">
    <w:name w:val="footer"/>
    <w:basedOn w:val="Normal"/>
    <w:link w:val="FooterChar"/>
    <w:uiPriority w:val="99"/>
    <w:unhideWhenUsed/>
    <w:rsid w:val="00981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A6"/>
    <w:rPr>
      <w:rFonts w:eastAsiaTheme="minorEastAsia"/>
    </w:rPr>
  </w:style>
  <w:style w:type="character" w:styleId="CommentReference">
    <w:name w:val="annotation reference"/>
    <w:basedOn w:val="DefaultParagraphFont"/>
    <w:uiPriority w:val="99"/>
    <w:semiHidden/>
    <w:unhideWhenUsed/>
    <w:rsid w:val="004E2CBF"/>
    <w:rPr>
      <w:sz w:val="16"/>
      <w:szCs w:val="16"/>
    </w:rPr>
  </w:style>
  <w:style w:type="paragraph" w:styleId="CommentText">
    <w:name w:val="annotation text"/>
    <w:basedOn w:val="Normal"/>
    <w:link w:val="CommentTextChar"/>
    <w:uiPriority w:val="99"/>
    <w:unhideWhenUsed/>
    <w:rsid w:val="004E2CBF"/>
    <w:pPr>
      <w:spacing w:line="240" w:lineRule="auto"/>
    </w:pPr>
    <w:rPr>
      <w:sz w:val="20"/>
      <w:szCs w:val="20"/>
    </w:rPr>
  </w:style>
  <w:style w:type="character" w:customStyle="1" w:styleId="CommentTextChar">
    <w:name w:val="Comment Text Char"/>
    <w:basedOn w:val="DefaultParagraphFont"/>
    <w:link w:val="CommentText"/>
    <w:uiPriority w:val="99"/>
    <w:rsid w:val="004E2CB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E2CBF"/>
    <w:rPr>
      <w:b/>
      <w:bCs/>
    </w:rPr>
  </w:style>
  <w:style w:type="character" w:customStyle="1" w:styleId="CommentSubjectChar">
    <w:name w:val="Comment Subject Char"/>
    <w:basedOn w:val="CommentTextChar"/>
    <w:link w:val="CommentSubject"/>
    <w:uiPriority w:val="99"/>
    <w:semiHidden/>
    <w:rsid w:val="004E2CBF"/>
    <w:rPr>
      <w:rFonts w:eastAsiaTheme="minorEastAsia"/>
      <w:b/>
      <w:bCs/>
      <w:sz w:val="20"/>
      <w:szCs w:val="20"/>
    </w:rPr>
  </w:style>
  <w:style w:type="paragraph" w:styleId="Revision">
    <w:name w:val="Revision"/>
    <w:hidden/>
    <w:uiPriority w:val="99"/>
    <w:semiHidden/>
    <w:rsid w:val="0022402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45151">
      <w:bodyDiv w:val="1"/>
      <w:marLeft w:val="0"/>
      <w:marRight w:val="0"/>
      <w:marTop w:val="0"/>
      <w:marBottom w:val="0"/>
      <w:divBdr>
        <w:top w:val="none" w:sz="0" w:space="0" w:color="auto"/>
        <w:left w:val="none" w:sz="0" w:space="0" w:color="auto"/>
        <w:bottom w:val="none" w:sz="0" w:space="0" w:color="auto"/>
        <w:right w:val="none" w:sz="0" w:space="0" w:color="auto"/>
      </w:divBdr>
    </w:div>
    <w:div w:id="5515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EA14D56FA2C4FBB021FAEEEAEC2EF" ma:contentTypeVersion="13" ma:contentTypeDescription="Create a new document." ma:contentTypeScope="" ma:versionID="83dc866ed160834a4fe3afb382b25f5c">
  <xsd:schema xmlns:xsd="http://www.w3.org/2001/XMLSchema" xmlns:xs="http://www.w3.org/2001/XMLSchema" xmlns:p="http://schemas.microsoft.com/office/2006/metadata/properties" xmlns:ns2="eebce3e6-ba4b-48d7-9b2d-5072fb256a46" xmlns:ns3="079f608c-978a-4b85-a3a4-3f12f75e28b9" targetNamespace="http://schemas.microsoft.com/office/2006/metadata/properties" ma:root="true" ma:fieldsID="c1c708d5fb366ced1c3bbfdb46986c57" ns2:_="" ns3:_="">
    <xsd:import namespace="eebce3e6-ba4b-48d7-9b2d-5072fb256a46"/>
    <xsd:import namespace="079f608c-978a-4b85-a3a4-3f12f75e28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ce3e6-ba4b-48d7-9b2d-5072fb256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f608c-978a-4b85-a3a4-3f12f75e28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093826c-8a06-4c45-89c9-06e63e2e3d02}" ma:internalName="TaxCatchAll" ma:showField="CatchAllData" ma:web="079f608c-978a-4b85-a3a4-3f12f75e2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bce3e6-ba4b-48d7-9b2d-5072fb256a46">
      <Terms xmlns="http://schemas.microsoft.com/office/infopath/2007/PartnerControls"/>
    </lcf76f155ced4ddcb4097134ff3c332f>
    <TaxCatchAll xmlns="079f608c-978a-4b85-a3a4-3f12f75e2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9639C-ED4D-4DAB-8B72-70FB5C6BB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ce3e6-ba4b-48d7-9b2d-5072fb256a46"/>
    <ds:schemaRef ds:uri="079f608c-978a-4b85-a3a4-3f12f75e2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EC608-5A8C-48B1-8832-3FF5F46E8FED}">
  <ds:schemaRefs>
    <ds:schemaRef ds:uri="http://schemas.microsoft.com/office/2006/metadata/properties"/>
    <ds:schemaRef ds:uri="http://schemas.microsoft.com/office/infopath/2007/PartnerControls"/>
    <ds:schemaRef ds:uri="eebce3e6-ba4b-48d7-9b2d-5072fb256a46"/>
    <ds:schemaRef ds:uri="079f608c-978a-4b85-a3a4-3f12f75e28b9"/>
  </ds:schemaRefs>
</ds:datastoreItem>
</file>

<file path=customXml/itemProps3.xml><?xml version="1.0" encoding="utf-8"?>
<ds:datastoreItem xmlns:ds="http://schemas.openxmlformats.org/officeDocument/2006/customXml" ds:itemID="{FB9B4AF9-77EC-4444-B9C5-9FBC9BC488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Brignoni</dc:creator>
  <cp:keywords/>
  <dc:description/>
  <cp:lastModifiedBy>Harden, Nathalie</cp:lastModifiedBy>
  <cp:revision>30</cp:revision>
  <dcterms:created xsi:type="dcterms:W3CDTF">2025-01-06T21:16:00Z</dcterms:created>
  <dcterms:modified xsi:type="dcterms:W3CDTF">2025-04-09T13:19:00Z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0x010100DC0EA14D56FA2C4FBB021FAEEEAEC2EF</vt:lpwstr>
  </property>
  <property fmtid="{D5CDD505-2E9C-101B-9397-08002B2CF9AE}" pid="3" name="ClassificationContentMarkingFooterShapeIds">
    <vt:lpwstr>407e5c0e,3df7936b,34e65719</vt:lpwstr>
  </property>
  <property fmtid="{D5CDD505-2E9C-101B-9397-08002B2CF9AE}" pid="4" name="ClassificationContentMarkingFooterFontProps">
    <vt:lpwstr>#0078d7,9,Rockwell</vt:lpwstr>
  </property>
  <property fmtid="{D5CDD505-2E9C-101B-9397-08002B2CF9AE}" pid="5" name="ClassificationContentMarkingFooterText">
    <vt:lpwstr>Information Classification: General</vt:lpwstr>
  </property>
  <property fmtid="{D5CDD505-2E9C-101B-9397-08002B2CF9AE}" pid="6" name="MSIP_Label_2bbab825-a111-45e4-86a1-18cee0005896_Enabled">
    <vt:lpwstr>true</vt:lpwstr>
  </property>
  <property fmtid="{D5CDD505-2E9C-101B-9397-08002B2CF9AE}" pid="7" name="MSIP_Label_2bbab825-a111-45e4-86a1-18cee0005896_SetDate">
    <vt:lpwstr>2025-01-03T16:31:27Z</vt:lpwstr>
  </property>
  <property fmtid="{D5CDD505-2E9C-101B-9397-08002B2CF9AE}" pid="8" name="MSIP_Label_2bbab825-a111-45e4-86a1-18cee0005896_Method">
    <vt:lpwstr>Standard</vt:lpwstr>
  </property>
  <property fmtid="{D5CDD505-2E9C-101B-9397-08002B2CF9AE}" pid="9" name="MSIP_Label_2bbab825-a111-45e4-86a1-18cee0005896_Name">
    <vt:lpwstr>2bbab825-a111-45e4-86a1-18cee0005896</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ActionId">
    <vt:lpwstr>2ef048ff-89ea-45f5-8d22-1b8ec706be4a</vt:lpwstr>
  </property>
  <property fmtid="{D5CDD505-2E9C-101B-9397-08002B2CF9AE}" pid="12" name="MSIP_Label_2bbab825-a111-45e4-86a1-18cee0005896_ContentBits">
    <vt:lpwstr>2</vt:lpwstr>
  </property>
  <property fmtid="{D5CDD505-2E9C-101B-9397-08002B2CF9AE}" pid="13" name="MediaServiceImageTags">
    <vt:lpwstr/>
  </property>
</Properties>
</file>